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0"/>
      </w:pPr>
    </w:p>
    <w:p>
      <w:pPr>
        <w:spacing w:before="0" w:after="30"/>
      </w:pPr>
      <w:r>
        <w:rPr>
          <w:rFonts w:ascii="Arial" w:cs="Arial" w:eastAsia="Arial" w:hAnsi="Arial"/>
          <w:b/>
          <w:bCs/>
          <w:color w:val="2E86C1"/>
          <w:spacing w:val="60"/>
          <w:sz w:val="16"/>
          <w:szCs w:val="16"/>
        </w:rPr>
        <w:t xml:space="preserve">RAQIB  ·  COMPLIANCE INTELLIGENCE PLATFORM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0A1628"/>
          <w:sz w:val="52"/>
          <w:szCs w:val="52"/>
        </w:rPr>
        <w:t xml:space="preserve">Contract Lifecycle Management Module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Business Use Case  ·  Business Requirements Document  ·  Product Requirements Document</w:t>
      </w:r>
    </w:p>
    <w:p>
      <w:pPr>
        <w:pBdr>
          <w:bottom w:val="single" w:color="2E86C1" w:sz="8" w:space="1"/>
        </w:pBdr>
        <w:spacing w:before="0" w:after="0"/>
      </w:pP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Document Version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1.0 — Initial Release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Raqib Product Team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Draft — For Product Leadership Review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March 2025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Confidential — Internal Use Only</w:t>
            </w:r>
          </w:p>
        </w:tc>
      </w:tr>
    </w:tbl>
    <w:p>
      <w:pPr>
        <w:spacing w:before="160" w:after="0"/>
      </w:pPr>
    </w:p>
    <w:p>
      <w:pPr>
        <w:pBdr>
          <w:top w:val="single" w:color="2E86C1" w:sz="3"/>
          <w:left w:val="single" w:color="2E86C1" w:sz="14"/>
          <w:right w:val="single" w:color="2E86C1" w:sz="3"/>
        </w:pBdr>
        <w:shd w:fill="EBF5FB" w:val="clear"/>
        <w:spacing w:before="0" w:after="40"/>
        <w:ind w:left="180" w:right="160"/>
      </w:pPr>
      <w:r>
        <w:rPr>
          <w:rFonts w:ascii="Arial" w:cs="Arial" w:eastAsia="Arial" w:hAnsi="Arial"/>
          <w:b/>
          <w:bCs/>
          <w:color w:val="2E86C1"/>
          <w:sz w:val="19"/>
          <w:szCs w:val="19"/>
        </w:rPr>
        <w:t xml:space="preserve">Executive Summary</w:t>
      </w:r>
    </w:p>
    <w:p>
      <w:pPr>
        <w:pBdr>
          <w:left w:val="single" w:color="2E86C1" w:sz="14"/>
          <w:right w:val="single" w:color="2E86C1" w:sz="3"/>
        </w:pBdr>
        <w:shd w:fill="EBF5FB" w:val="clear"/>
        <w:spacing w:before="0" w:after="60"/>
        <w:ind w:left="180" w:right="160"/>
      </w:pPr>
      <w:r>
        <w:rPr>
          <w:rFonts w:ascii="Arial" w:cs="Arial" w:eastAsia="Arial" w:hAnsi="Arial"/>
          <w:color w:val="475569"/>
          <w:sz w:val="17"/>
          <w:szCs w:val="17"/>
        </w:rPr>
        <w:t xml:space="preserve">Contract management is the most pervasive operational pain point across every GCC corporate group, yet no module in the current Raqib platform addresses it. Every entity signs contracts — vendor agreements, employment contracts, service agreements, NDAs, lease agreements, and partnership deeds — and every one of those contracts carries obligations, deadlines, renewal windows, and risk exposure that today sits unmanaged in email threads and shared drives.</w:t>
      </w:r>
    </w:p>
    <w:p>
      <w:pPr>
        <w:pBdr>
          <w:left w:val="single" w:color="2E86C1" w:sz="14"/>
          <w:right w:val="single" w:color="2E86C1" w:sz="3"/>
        </w:pBdr>
        <w:shd w:fill="EBF5FB" w:val="clear"/>
        <w:spacing w:before="0" w:after="60"/>
        <w:ind w:left="180" w:right="160"/>
      </w:pPr>
      <w:r>
        <w:rPr>
          <w:rFonts w:ascii="Arial" w:cs="Arial" w:eastAsia="Arial" w:hAnsi="Arial"/>
          <w:color w:val="475569"/>
          <w:sz w:val="17"/>
          <w:szCs w:val="17"/>
        </w:rPr>
        <w:t xml:space="preserve"/>
      </w:r>
    </w:p>
    <w:p>
      <w:pPr>
        <w:pBdr>
          <w:left w:val="single" w:color="2E86C1" w:sz="14"/>
          <w:right w:val="single" w:color="2E86C1" w:sz="3"/>
        </w:pBdr>
        <w:shd w:fill="EBF5FB" w:val="clear"/>
        <w:spacing w:before="0" w:after="60"/>
        <w:ind w:left="180" w:right="160"/>
      </w:pPr>
      <w:r>
        <w:rPr>
          <w:rFonts w:ascii="Arial" w:cs="Arial" w:eastAsia="Arial" w:hAnsi="Arial"/>
          <w:color w:val="475569"/>
          <w:sz w:val="17"/>
          <w:szCs w:val="17"/>
        </w:rPr>
        <w:t xml:space="preserve">This document defines the business case, business requirements, and product requirements for a Contract Lifecycle Management (CLM) module purpose-built for GCC corporate groups operating multi-entity structures. The module integrates natively with existing Raqib modules — POA, Entity Governance, Litigation, and the Legal Operations Health Score — creating the first fully unified legal intelligence platform in the GCC market.</w:t>
      </w:r>
    </w:p>
    <w:p>
      <w:pPr>
        <w:pBdr>
          <w:left w:val="single" w:color="2E86C1" w:sz="14"/>
          <w:right w:val="single" w:color="2E86C1" w:sz="3"/>
        </w:pBdr>
        <w:shd w:fill="EBF5FB" w:val="clear"/>
        <w:spacing w:before="0" w:after="60"/>
        <w:ind w:left="180" w:right="160"/>
      </w:pPr>
      <w:r>
        <w:rPr>
          <w:rFonts w:ascii="Arial" w:cs="Arial" w:eastAsia="Arial" w:hAnsi="Arial"/>
          <w:color w:val="475569"/>
          <w:sz w:val="17"/>
          <w:szCs w:val="17"/>
        </w:rPr>
        <w:t xml:space="preserve"/>
      </w:r>
    </w:p>
    <w:p>
      <w:pPr>
        <w:pBdr>
          <w:bottom w:val="single" w:color="2E86C1" w:sz="3"/>
          <w:left w:val="single" w:color="2E86C1" w:sz="14"/>
          <w:right w:val="single" w:color="2E86C1" w:sz="3"/>
        </w:pBdr>
        <w:shd w:fill="EBF5FB" w:val="clear"/>
        <w:spacing w:before="0" w:after="0"/>
        <w:ind w:left="180" w:right="160"/>
      </w:pPr>
      <w:r>
        <w:rPr>
          <w:rFonts w:ascii="Arial" w:cs="Arial" w:eastAsia="Arial" w:hAnsi="Arial"/>
          <w:color w:val="475569"/>
          <w:sz w:val="17"/>
          <w:szCs w:val="17"/>
        </w:rPr>
        <w:t xml:space="preserve">Estimated business value per customer: AED 1.2M – 4.8M annually in combined risk avoidance, resource efficiency, and commercial recovery.</w:t>
      </w:r>
    </w:p>
    <w:p>
      <w:pPr>
        <w:spacing w:before="120" w:after="0"/>
      </w:pPr>
    </w:p>
    <w:p>
      <w:r>
        <w:br w:type="page"/>
      </w:r>
    </w:p>
    <w:p>
      <w:pPr>
        <w:shd w:fill="0A1628" w:val="clear"/>
        <w:spacing w:before="0" w:after="60"/>
      </w:pPr>
      <w:r>
        <w:rPr>
          <w:rFonts w:ascii="Arial" w:cs="Arial" w:eastAsia="Arial" w:hAnsi="Arial"/>
          <w:b/>
          <w:bCs/>
          <w:color w:val="2E86C1"/>
          <w:spacing w:val="80"/>
          <w:sz w:val="28"/>
          <w:szCs w:val="28"/>
        </w:rPr>
        <w:t xml:space="preserve">   PART A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 BUSINESS USE CASE</w:t>
      </w:r>
    </w:p>
    <w:p>
      <w:pPr>
        <w:pBdr>
          <w:bottom w:val="single" w:color="0D9488" w:sz="6" w:space="1"/>
        </w:pBdr>
        <w:spacing w:before="0" w:after="0"/>
      </w:pPr>
    </w:p>
    <w:p>
      <w:pPr>
        <w:spacing w:before="80" w:after="0"/>
      </w:pPr>
    </w:p>
    <w:p>
      <w:pPr>
        <w:spacing w:before="200" w:after="0"/>
      </w:pPr>
    </w:p>
    <w:p>
      <w:pPr>
        <w:shd w:fill="0A1628" w:val="clear"/>
        <w:spacing w:before="0" w:after="0"/>
      </w:pPr>
      <w:r>
        <w:rPr>
          <w:rFonts w:ascii="Arial" w:cs="Arial" w:eastAsia="Arial" w:hAnsi="Arial"/>
          <w:b/>
          <w:bCs/>
          <w:color w:val="2E86C1"/>
          <w:spacing w:val="50"/>
          <w:sz w:val="16"/>
          <w:szCs w:val="16"/>
        </w:rPr>
        <w:t xml:space="preserve">  BUSINESS USE CASE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|  01  The Problem — What Is Broken Today</w:t>
      </w:r>
    </w:p>
    <w:p>
      <w:pPr>
        <w:pBdr>
          <w:bottom w:val="single" w:color="0D9488" w:sz="4" w:space="0"/>
        </w:pBdr>
        <w:shd w:fill="2E86C1" w:val="clear"/>
        <w:spacing w:before="0" w:after="16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left w:val="single" w:color="2E86C1" w:sz="12" w:space="6"/>
        </w:pBdr>
        <w:spacing w:before="200" w:after="80"/>
        <w:ind w:left="1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The Current Reality for GCC Legal Teams</w:t>
      </w:r>
    </w:p>
    <w:p>
      <w:pPr>
        <w:spacing w:before="0" w:after="100"/>
        <w:ind w:left="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Corporate groups operating across GCC jurisdictions manage hundreds — sometimes thousands — of active contracts at any given time. Without a centralised system, the management of these contracts creates compounding operational, financial, and legal risk across the organisation.</w:t>
      </w:r>
    </w:p>
    <w:p>
      <w:pPr>
        <w:spacing w:before="6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Seven Pain Points That Define the Current State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Pain Point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It Manifests Daily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Consequence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1.  Contracts live in email &amp; shared drives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Legal PA searches 3 mailboxes and 2 SharePoint folders to find the signed vendor agreement. Takes 45–90 minutes per request.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Delayed transactions, version confusion, unsigned versions actioned in error.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2.  Renewal deadlines missed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No one knows a 5-year facility agreement auto-renews unless cancelled 90 days prior. The deadline passes. The group is locked in for another 5 years.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AED 500K–5M+ in unwanted committed spend or penalty exposure per missed window.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3.  Obligation tracking is manual or absent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Key deliverable dates, SLA thresholds, payment milestones buried in contract body. No system extracts or tracks them. Issues surface only when the counterparty raises a breach.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Breach of contract, penalty clauses triggered, damaged supplier relationships.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4.  No visibility into contract spend and exposure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CFO asks: what is our total committed contract liability across the group? Answer takes 2 weeks and is still incomplete.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Inaccurate financial forecasting, audit qualifications, M&amp;A due diligence failures.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5.  Approval workflows run through email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Contract review chain: Legal PA → Head of Legal → COO → CEO. Each stage involves email forwarding, version attachments, reply-all threads. No audit trail.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Wrong version signed, approvals bypassed, regulatory exposure from unapproved commitments.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6.  Counterparty and vendor risk is invisible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100 active vendor contracts. No view of which vendors are on financial watch lists, have expired insurance, or are in litigation with the group.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Regulatory penalties, operational disruption when vendor fails, reputational exposure.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7.  No link between contracts and compliance obligations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A vendor contract requires the supplier to maintain ISO 27001 certification. That obligation is never tracked. The certification lapses. A data breach occurs.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Regulatory investigation, PDPL breach liability, insurance invalidation.</w:t>
            </w:r>
          </w:p>
        </w:tc>
      </w:tr>
    </w:tbl>
    <w:p>
      <w:pPr>
        <w:spacing w:before="120" w:after="0"/>
      </w:pPr>
    </w:p>
    <w:p>
      <w:pPr>
        <w:pBdr>
          <w:top w:val="single" w:color="DC2626" w:sz="3"/>
          <w:left w:val="single" w:color="DC2626" w:sz="14"/>
          <w:right w:val="single" w:color="DC2626" w:sz="3"/>
        </w:pBdr>
        <w:shd w:fill="FEF2F2" w:val="clear"/>
        <w:spacing w:before="0" w:after="40"/>
        <w:ind w:left="180" w:right="160"/>
      </w:pPr>
      <w:r>
        <w:rPr>
          <w:rFonts w:ascii="Arial" w:cs="Arial" w:eastAsia="Arial" w:hAnsi="Arial"/>
          <w:b/>
          <w:bCs/>
          <w:color w:val="DC2626"/>
          <w:sz w:val="19"/>
          <w:szCs w:val="19"/>
        </w:rPr>
        <w:t xml:space="preserve">The Cost of the Current State — Quantified</w:t>
      </w:r>
    </w:p>
    <w:p>
      <w:pPr>
        <w:pBdr>
          <w:left w:val="single" w:color="DC2626" w:sz="14"/>
          <w:right w:val="single" w:color="DC2626" w:sz="3"/>
        </w:pBdr>
        <w:shd w:fill="FEF2F2" w:val="clear"/>
        <w:spacing w:before="0" w:after="60"/>
        <w:ind w:left="180" w:right="160"/>
      </w:pPr>
      <w:r>
        <w:rPr>
          <w:rFonts w:ascii="Arial" w:cs="Arial" w:eastAsia="Arial" w:hAnsi="Arial"/>
          <w:color w:val="475569"/>
          <w:sz w:val="17"/>
          <w:szCs w:val="17"/>
        </w:rPr>
        <w:t xml:space="preserve">Missed renewal penalty (one incident):       AED 500K – 5M+</w:t>
      </w:r>
    </w:p>
    <w:p>
      <w:pPr>
        <w:pBdr>
          <w:left w:val="single" w:color="DC2626" w:sz="14"/>
          <w:right w:val="single" w:color="DC2626" w:sz="3"/>
        </w:pBdr>
        <w:shd w:fill="FEF2F2" w:val="clear"/>
        <w:spacing w:before="0" w:after="60"/>
        <w:ind w:left="180" w:right="160"/>
      </w:pPr>
      <w:r>
        <w:rPr>
          <w:rFonts w:ascii="Arial" w:cs="Arial" w:eastAsia="Arial" w:hAnsi="Arial"/>
          <w:color w:val="475569"/>
          <w:sz w:val="17"/>
          <w:szCs w:val="17"/>
        </w:rPr>
        <w:t xml:space="preserve">Manual contract retrieval (per year):        AED 150K – 400K in senior analyst time</w:t>
      </w:r>
    </w:p>
    <w:p>
      <w:pPr>
        <w:pBdr>
          <w:left w:val="single" w:color="DC2626" w:sz="14"/>
          <w:right w:val="single" w:color="DC2626" w:sz="3"/>
        </w:pBdr>
        <w:shd w:fill="FEF2F2" w:val="clear"/>
        <w:spacing w:before="0" w:after="60"/>
        <w:ind w:left="180" w:right="160"/>
      </w:pPr>
      <w:r>
        <w:rPr>
          <w:rFonts w:ascii="Arial" w:cs="Arial" w:eastAsia="Arial" w:hAnsi="Arial"/>
          <w:color w:val="475569"/>
          <w:sz w:val="17"/>
          <w:szCs w:val="17"/>
        </w:rPr>
        <w:t xml:space="preserve">Missed obligation / SLA breach:              AED 200K – 2M per incident</w:t>
      </w:r>
    </w:p>
    <w:p>
      <w:pPr>
        <w:pBdr>
          <w:left w:val="single" w:color="DC2626" w:sz="14"/>
          <w:right w:val="single" w:color="DC2626" w:sz="3"/>
        </w:pBdr>
        <w:shd w:fill="FEF2F2" w:val="clear"/>
        <w:spacing w:before="0" w:after="60"/>
        <w:ind w:left="180" w:right="160"/>
      </w:pPr>
      <w:r>
        <w:rPr>
          <w:rFonts w:ascii="Arial" w:cs="Arial" w:eastAsia="Arial" w:hAnsi="Arial"/>
          <w:color w:val="475569"/>
          <w:sz w:val="17"/>
          <w:szCs w:val="17"/>
        </w:rPr>
        <w:t xml:space="preserve">M&amp;A due diligence re-work:                   AED 300K – 800K per transaction</w:t>
      </w:r>
    </w:p>
    <w:p>
      <w:pPr>
        <w:pBdr>
          <w:left w:val="single" w:color="DC2626" w:sz="14"/>
          <w:right w:val="single" w:color="DC2626" w:sz="3"/>
        </w:pBdr>
        <w:shd w:fill="FEF2F2" w:val="clear"/>
        <w:spacing w:before="0" w:after="60"/>
        <w:ind w:left="180" w:right="160"/>
      </w:pPr>
      <w:r>
        <w:rPr>
          <w:rFonts w:ascii="Arial" w:cs="Arial" w:eastAsia="Arial" w:hAnsi="Arial"/>
          <w:color w:val="475569"/>
          <w:sz w:val="17"/>
          <w:szCs w:val="17"/>
        </w:rPr>
        <w:t xml:space="preserve">Regulatory exposure (PDPL / CBUAE breach):  AED 1M – 20M per event</w:t>
      </w:r>
    </w:p>
    <w:p>
      <w:pPr>
        <w:pBdr>
          <w:bottom w:val="single" w:color="DC2626" w:sz="3"/>
          <w:left w:val="single" w:color="DC2626" w:sz="14"/>
          <w:right w:val="single" w:color="DC2626" w:sz="3"/>
        </w:pBdr>
        <w:shd w:fill="FEF2F2" w:val="clear"/>
        <w:spacing w:before="0" w:after="0"/>
        <w:ind w:left="180" w:right="160"/>
      </w:pPr>
      <w:r>
        <w:rPr>
          <w:rFonts w:ascii="Arial" w:cs="Arial" w:eastAsia="Arial" w:hAnsi="Arial"/>
          <w:color w:val="475569"/>
          <w:sz w:val="17"/>
          <w:szCs w:val="17"/>
        </w:rPr>
        <w:t xml:space="preserve">Total estimated annual exposure per group:  AED 2.1M – 28M+</w:t>
      </w:r>
    </w:p>
    <w:p>
      <w:pPr>
        <w:spacing w:before="120" w:after="0"/>
      </w:pPr>
    </w:p>
    <w:p>
      <w:pPr>
        <w:spacing w:before="200" w:after="0"/>
      </w:pPr>
    </w:p>
    <w:p>
      <w:pPr>
        <w:shd w:fill="0A1628" w:val="clear"/>
        <w:spacing w:before="0" w:after="0"/>
      </w:pPr>
      <w:r>
        <w:rPr>
          <w:rFonts w:ascii="Arial" w:cs="Arial" w:eastAsia="Arial" w:hAnsi="Arial"/>
          <w:b/>
          <w:bCs/>
          <w:color w:val="2E86C1"/>
          <w:spacing w:val="50"/>
          <w:sz w:val="16"/>
          <w:szCs w:val="16"/>
        </w:rPr>
        <w:t xml:space="preserve">  BUSINESS USE CASE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|  02  The Opportunity — Why Now, Why Raqib</w:t>
      </w:r>
    </w:p>
    <w:p>
      <w:pPr>
        <w:pBdr>
          <w:bottom w:val="single" w:color="0D9488" w:sz="4" w:space="0"/>
        </w:pBdr>
        <w:shd w:fill="2E86C1" w:val="clear"/>
        <w:spacing w:before="0" w:after="16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left w:val="single" w:color="2E86C1" w:sz="12" w:space="6"/>
        </w:pBdr>
        <w:spacing w:before="200" w:after="80"/>
        <w:ind w:left="1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Market Context</w:t>
      </w:r>
    </w:p>
    <w:p>
      <w:pPr>
        <w:spacing w:before="0" w:after="100"/>
        <w:ind w:left="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The GCC contract management software market is growing at 14% CAGR through 2028, driven by digital transformation mandates, increasing regulatory scrutiny of commercial arrangements, and the explosion of cross-border commercial relationships across UAE, KSA, and Qatar. Yet no platform today delivers CLM natively integrated with entity governance, POA management, and GCC regulatory compliance. That gap is Raqib's opportunity.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Relevance to Raqib CLM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UAE Commercial Transactions Law (2023)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Requires documented evidence of commercial obligations and authorised signatories. Raqib CLM provides both.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KSA Vision 2030 Digital Commerce Mandate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Saudi entities must digitise contract workflows by 2025. Raqib is GCC-native and ready.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CBUAE Vendor Risk Requirements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Financial institutions must track and attest to vendor contract compliance annually. Raqib CLM automates this.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PDPL Data Processing Agreements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UAE and KSA PDPL require documented data processing agreements with all data processors. Raqib flags gaps.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M&amp;A Activity in GCC (25% YoY growth)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Acquirers require clean contract registers as part of due diligence. Raqib makes this instantly available.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Existing Raqib User Base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Every current Raqib customer already manages entities, POAs, and licences. Adding CLM requires no new relationship — it extends existing value.</w:t>
            </w:r>
          </w:p>
        </w:tc>
      </w:tr>
    </w:tbl>
    <w:p>
      <w:pPr>
        <w:spacing w:before="120" w:after="0"/>
      </w:pPr>
    </w:p>
    <w:p>
      <w:pPr>
        <w:pBdr>
          <w:left w:val="single" w:color="2E86C1" w:sz="12" w:space="6"/>
        </w:pBdr>
        <w:spacing w:before="200" w:after="80"/>
        <w:ind w:left="1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Why This Module Belongs Inside Raqib — Not as a Separate Tool</w:t>
      </w:r>
    </w:p>
    <w:p>
      <w:pPr>
        <w:spacing w:before="0" w:after="100"/>
        <w:ind w:left="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Contract management as a standalone tool (Clara, DocuSign CLM, Ironclad) solves for storage and signature. Raqib CLM solves for intelligence — connecting contracts to entities, POAs, regulatory obligations, and financial exposure in ways no standalone CLM can.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680"/>
        <w:gridCol w:w="1920"/>
        <w:gridCol w:w="2880"/>
      </w:tblGrid>
      <w:tr>
        <w:trPr>
          <w:tblHeader/>
        </w:trP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Standalone CLM Tools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Raqib CLM (Integrated)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of Integration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Signatory linked to active POA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✗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✓✓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Prevents unauthorised signatures; alerts when signing authority expires mid-negotiation.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Contract obligation → regulatory change alert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✗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✓✓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When PDPL changes, all data processing contracts flagged automatically for review.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Contract spend → CFO financial dashboard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✗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✓✓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Total committed liability visible in CFO view alongside litigation and licence costs.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Vendor contract → counterparty litigation check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✗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✓✓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Alerts when a vendor named in a live contract appears in the litigation register.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Contract → M&amp;A due diligence pack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✗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✓✓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Instant contract register export for deal data room. No manual compilation.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Multi-entity contract → OpCo compliance score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✗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✓✓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Contracts without current terms or expired obligations reduce LOHS score, prompting action.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Contract storage and search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✓✓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✓✓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Both deliver. Raqib adds intelligence layer on top.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Approval workflow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✓✓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✓✓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Both deliver. Raqib links approval to entity authority register.</w:t>
            </w:r>
          </w:p>
        </w:tc>
      </w:tr>
    </w:tbl>
    <w:p>
      <w:pPr>
        <w:spacing w:before="120" w:after="0"/>
      </w:pPr>
    </w:p>
    <w:p>
      <w:pPr>
        <w:spacing w:before="200" w:after="0"/>
      </w:pPr>
    </w:p>
    <w:p>
      <w:pPr>
        <w:shd w:fill="0A1628" w:val="clear"/>
        <w:spacing w:before="0" w:after="0"/>
      </w:pPr>
      <w:r>
        <w:rPr>
          <w:rFonts w:ascii="Arial" w:cs="Arial" w:eastAsia="Arial" w:hAnsi="Arial"/>
          <w:b/>
          <w:bCs/>
          <w:color w:val="2E86C1"/>
          <w:spacing w:val="50"/>
          <w:sz w:val="16"/>
          <w:szCs w:val="16"/>
        </w:rPr>
        <w:t xml:space="preserve">  BUSINESS USE CASE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|  03  Business Value — Impact by Team and Organisation</w:t>
      </w:r>
    </w:p>
    <w:p>
      <w:pPr>
        <w:pBdr>
          <w:bottom w:val="single" w:color="0D9488" w:sz="4" w:space="0"/>
        </w:pBdr>
        <w:shd w:fill="2E86C1" w:val="clear"/>
        <w:spacing w:before="0" w:after="16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left w:val="single" w:color="2E86C1" w:sz="12" w:space="6"/>
        </w:pBdr>
        <w:spacing w:before="200" w:after="80"/>
        <w:ind w:left="1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Impact Across the Organisation</w:t>
      </w:r>
    </w:p>
    <w:p>
      <w:pPr>
        <w:spacing w:before="4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Legal Team</w:t>
      </w:r>
    </w:p>
    <w:p>
      <w:pPr>
        <w:spacing w:before="0" w:after="100"/>
        <w:ind w:left="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The legal team is the primary operational beneficiary. The module eliminates the two most time-consuming recurring tasks: document retrieval and renewal deadline management. In a team of 5 legal professionals, Raqib CLM reclaims an estimated 60–80% of the time currently spent on contract administration.</w:t>
      </w:r>
    </w:p>
    <w:p>
      <w:pPr>
        <w:spacing w:before="60" w:after="0"/>
      </w:pPr>
    </w:p>
    <w:p>
      <w:pPr>
        <w:spacing w:before="0" w:after="60"/>
        <w:ind w:left="0" w:hanging="2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Contract retrieval time: 45–90 min per request → under 30 seconds via search</w:t>
      </w:r>
    </w:p>
    <w:p>
      <w:pPr>
        <w:spacing w:before="0" w:after="60"/>
        <w:ind w:left="1" w:hanging="2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Renewal deadline management: manual calendar → automated 90/60/30-day alert engine</w:t>
      </w:r>
    </w:p>
    <w:p>
      <w:pPr>
        <w:spacing w:before="0" w:after="60"/>
        <w:ind w:left="2" w:hanging="2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Approval workflow: email thread → structured digital workflow with full audit trail</w:t>
      </w:r>
    </w:p>
    <w:p>
      <w:pPr>
        <w:spacing w:before="0" w:after="60"/>
        <w:ind w:left="3" w:hanging="2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Obligation tracking: buried in contract body → extracted, assigned, deadline-tracked</w:t>
      </w:r>
    </w:p>
    <w:p>
      <w:pPr>
        <w:spacing w:before="0" w:after="60"/>
        <w:ind w:left="4" w:hanging="2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Board reporting: 2-day manual compilation → one-click contract health export</w:t>
      </w:r>
    </w:p>
    <w:p>
      <w:pPr>
        <w:spacing w:before="8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Finance / CFO</w:t>
      </w:r>
    </w:p>
    <w:p>
      <w:pPr>
        <w:spacing w:before="0" w:after="100"/>
        <w:ind w:left="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The CFO gains, for the first time, a consolidated view of the organisation's contractual financial exposure across all entities. This transforms contract management from a legal function into a financial intelligence asset.</w:t>
      </w:r>
    </w:p>
    <w:p>
      <w:pPr>
        <w:spacing w:before="60" w:after="0"/>
      </w:pPr>
    </w:p>
    <w:p>
      <w:pPr>
        <w:spacing w:before="0" w:after="60"/>
        <w:ind w:left="0" w:hanging="2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Total committed contract liability: visible in real time across all OpCos</w:t>
      </w:r>
    </w:p>
    <w:p>
      <w:pPr>
        <w:spacing w:before="0" w:after="60"/>
        <w:ind w:left="1" w:hanging="2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Renewal spend forecasting: 12-month rolling cost calendar for all renewing contracts</w:t>
      </w:r>
    </w:p>
    <w:p>
      <w:pPr>
        <w:spacing w:before="0" w:after="60"/>
        <w:ind w:left="2" w:hanging="2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Auto-renewal risk: every contract with auto-renewal clause flagged 90 days before trigger</w:t>
      </w:r>
    </w:p>
    <w:p>
      <w:pPr>
        <w:spacing w:before="0" w:after="60"/>
        <w:ind w:left="3" w:hanging="2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Payment milestone tracking: contractual payment obligations surfaced in cash flow planning</w:t>
      </w:r>
    </w:p>
    <w:p>
      <w:pPr>
        <w:spacing w:before="0" w:after="60"/>
        <w:ind w:left="4" w:hanging="2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M&amp;A due diligence: complete contract register for target entity available in minutes</w:t>
      </w:r>
    </w:p>
    <w:p>
      <w:pPr>
        <w:spacing w:before="8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Operations / COO</w:t>
      </w:r>
    </w:p>
    <w:p>
      <w:pPr>
        <w:spacing w:before="0" w:after="100"/>
        <w:ind w:left="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The COO gains operational continuity intelligence — knowing which contracts underpin critical operations and what the cascade impact would be if a key vendor agreement were terminated or expired.</w:t>
      </w:r>
    </w:p>
    <w:p>
      <w:pPr>
        <w:spacing w:before="60" w:after="0"/>
      </w:pPr>
    </w:p>
    <w:p>
      <w:pPr>
        <w:spacing w:before="0" w:after="60"/>
        <w:ind w:left="0" w:hanging="2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Vendor dependency map: which OpCos depend on which vendors for which services</w:t>
      </w:r>
    </w:p>
    <w:p>
      <w:pPr>
        <w:spacing w:before="0" w:after="60"/>
        <w:ind w:left="1" w:hanging="2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SLA breach alerts: operational SLA thresholds monitored and alerted before breach</w:t>
      </w:r>
    </w:p>
    <w:p>
      <w:pPr>
        <w:spacing w:before="0" w:after="60"/>
        <w:ind w:left="2" w:hanging="2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Contract expiry risk: upcoming contract expirations colour-coded by operational criticality</w:t>
      </w:r>
    </w:p>
    <w:p>
      <w:pPr>
        <w:spacing w:before="0" w:after="60"/>
        <w:ind w:left="3" w:hanging="2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Force majeure and termination clause inventory: searchable across all contracts</w:t>
      </w:r>
    </w:p>
    <w:p>
      <w:pPr>
        <w:spacing w:before="0" w:after="60"/>
        <w:ind w:left="4" w:hanging="2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Supplier financial health flags: integrated counterparty risk indicators</w:t>
      </w:r>
    </w:p>
    <w:p>
      <w:pPr>
        <w:spacing w:before="8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C-Suite / Board</w:t>
      </w:r>
    </w:p>
    <w:p>
      <w:pPr>
        <w:spacing w:before="0" w:after="100"/>
        <w:ind w:left="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At the board level, contract management becomes a governance metric rather than a legal task. The Raqib CLM contributes to the Legal Operations Health Score (LOHS) and generates the Contract Health Index — a single number expressing the group's contractual governance posture.</w:t>
      </w:r>
    </w:p>
    <w:p>
      <w:pPr>
        <w:spacing w:before="60" w:after="0"/>
      </w:pPr>
    </w:p>
    <w:p>
      <w:pPr>
        <w:spacing w:before="0" w:after="60"/>
        <w:ind w:left="0" w:hanging="2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Contract Health Index (CHI): 0–100 score per OpCo and group level</w:t>
      </w:r>
    </w:p>
    <w:p>
      <w:pPr>
        <w:spacing w:before="0" w:after="60"/>
        <w:ind w:left="1" w:hanging="2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Top 5 contract risks: surfaced automatically each month in the board compliance pack</w:t>
      </w:r>
    </w:p>
    <w:p>
      <w:pPr>
        <w:spacing w:before="0" w:after="60"/>
        <w:ind w:left="2" w:hanging="2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Committed liability vs. budget: actual vs. planned contract spend per entity</w:t>
      </w:r>
    </w:p>
    <w:p>
      <w:pPr>
        <w:spacing w:before="0" w:after="60"/>
        <w:ind w:left="3" w:hanging="2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Regulatory contract compliance rate: % of contracts meeting all current obligations</w:t>
      </w:r>
    </w:p>
    <w:p>
      <w:pPr>
        <w:spacing w:before="0" w:after="60"/>
        <w:ind w:left="4" w:hanging="2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Year-on-year contract portfolio trend: volume, value, risk trajectory</w:t>
      </w:r>
    </w:p>
    <w:p>
      <w:pPr>
        <w:spacing w:before="120" w:after="0"/>
      </w:pPr>
    </w:p>
    <w:p>
      <w:pPr>
        <w:pBdr>
          <w:left w:val="single" w:color="2E86C1" w:sz="12" w:space="6"/>
        </w:pBdr>
        <w:spacing w:before="200" w:after="80"/>
        <w:ind w:left="1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Quantified Business Value — Per Organisation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Category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State Cost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With Raqib CLM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Annual Saving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Analyst time (contract admin)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AED 400K–800K/yr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AED 80K–160K/yr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AED 320K–640K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Missed renewal exposure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AED 500K–5M/event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Near zero (automated alerts)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AED 500K–5M+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Breach / SLA penalty costs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AED 200K–2M/yr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AED 20K–200K/yr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AED 180K–1.8M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Audit &amp; due diligence prep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AED 300K–600K/deal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AED 30K–60K/deal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AED 270K–540K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Regulatory exposure (PDPL etc.)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AED 1M–20M/event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Significantly mitigated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AED 1M–20M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Total per organisation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AED 2.4M–28M+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AED 130K–420K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AED 1.2M–4.8M+</w:t>
            </w:r>
          </w:p>
        </w:tc>
      </w:tr>
    </w:tbl>
    <w:p>
      <w:pPr>
        <w:spacing w:before="160" w:after="0"/>
      </w:pPr>
    </w:p>
    <w:p>
      <w:r>
        <w:br w:type="page"/>
      </w:r>
    </w:p>
    <w:p>
      <w:pPr>
        <w:shd w:fill="0A1628" w:val="clear"/>
        <w:spacing w:before="0" w:after="60"/>
      </w:pPr>
      <w:r>
        <w:rPr>
          <w:rFonts w:ascii="Arial" w:cs="Arial" w:eastAsia="Arial" w:hAnsi="Arial"/>
          <w:b/>
          <w:bCs/>
          <w:color w:val="2E86C1"/>
          <w:spacing w:val="80"/>
          <w:sz w:val="28"/>
          <w:szCs w:val="28"/>
        </w:rPr>
        <w:t xml:space="preserve">   PART B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 BUSINESS REQUIREMENTS DOCUMENT  (BRD)</w:t>
      </w:r>
    </w:p>
    <w:p>
      <w:pPr>
        <w:pBdr>
          <w:bottom w:val="single" w:color="0D9488" w:sz="6" w:space="1"/>
        </w:pBdr>
        <w:spacing w:before="0" w:after="0"/>
      </w:pPr>
    </w:p>
    <w:p>
      <w:pPr>
        <w:spacing w:before="80" w:after="0"/>
      </w:pPr>
    </w:p>
    <w:p>
      <w:pPr>
        <w:spacing w:before="200" w:after="0"/>
      </w:pPr>
    </w:p>
    <w:p>
      <w:pPr>
        <w:shd w:fill="0A1628" w:val="clear"/>
        <w:spacing w:before="0" w:after="0"/>
      </w:pPr>
      <w:r>
        <w:rPr>
          <w:rFonts w:ascii="Arial" w:cs="Arial" w:eastAsia="Arial" w:hAnsi="Arial"/>
          <w:b/>
          <w:bCs/>
          <w:color w:val="2E86C1"/>
          <w:spacing w:val="50"/>
          <w:sz w:val="16"/>
          <w:szCs w:val="16"/>
        </w:rPr>
        <w:t xml:space="preserve">  BRD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|  BR-01  Business Objectives</w:t>
      </w:r>
    </w:p>
    <w:p>
      <w:pPr>
        <w:pBdr>
          <w:bottom w:val="single" w:color="0D9488" w:sz="4" w:space="0"/>
        </w:pBdr>
        <w:shd w:fill="2E86C1" w:val="clear"/>
        <w:spacing w:before="0" w:after="16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before="0" w:after="100"/>
        <w:ind w:left="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The Contract Lifecycle Management module must achieve the following business objectives, in priority order: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Objective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1 — Critical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Eliminate missed contract renewal events across all OpCos by providing automated, multi-stage deadline alerting.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2 — Critical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Provide legal teams with sub-60-second contract retrieval from any device, replacing email and shared drive search.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3 — High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Deliver a real-time view of total committed contract liability across the group to the CFO and finance function.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4 — High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Connect contract signatories to the live POA register, preventing execution by individuals without current authority.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5 — High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Extract and track key contract obligations automatically using AI, so that deadlines and SLA thresholds are never buried in document body text.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6 — Medium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Integrate contract compliance status into the LOHS, giving the board a measurable governance signal on contract health per OpCo.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7 — Medium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Enable audit-ready contract data room export for M&amp;A due diligence within 24 hours of request.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8 — Medium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Flag contracts with data processing scope for PDPL compliance review, and link to the Data Sovereignty module.</w:t>
            </w:r>
          </w:p>
        </w:tc>
      </w:tr>
    </w:tbl>
    <w:p>
      <w:pPr>
        <w:spacing w:before="120" w:after="0"/>
      </w:pPr>
    </w:p>
    <w:p>
      <w:pPr>
        <w:spacing w:before="200" w:after="0"/>
      </w:pPr>
    </w:p>
    <w:p>
      <w:pPr>
        <w:shd w:fill="0A1628" w:val="clear"/>
        <w:spacing w:before="0" w:after="0"/>
      </w:pPr>
      <w:r>
        <w:rPr>
          <w:rFonts w:ascii="Arial" w:cs="Arial" w:eastAsia="Arial" w:hAnsi="Arial"/>
          <w:b/>
          <w:bCs/>
          <w:color w:val="2E86C1"/>
          <w:spacing w:val="50"/>
          <w:sz w:val="16"/>
          <w:szCs w:val="16"/>
        </w:rPr>
        <w:t xml:space="preserve">  BRD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|  BR-02  Stakeholder Requirements by Role</w:t>
      </w:r>
    </w:p>
    <w:p>
      <w:pPr>
        <w:pBdr>
          <w:bottom w:val="single" w:color="0D9488" w:sz="4" w:space="0"/>
        </w:pBdr>
        <w:shd w:fill="2E86C1" w:val="clear"/>
        <w:spacing w:before="0" w:after="16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Legal PA / Operations</w:t>
      </w:r>
    </w:p>
    <w:p>
      <w:pPr>
        <w:spacing w:before="0" w:after="60"/>
        <w:ind w:left="0" w:hanging="2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Must be able to upload, tag, and search contracts without technical training</w:t>
      </w:r>
    </w:p>
    <w:p>
      <w:pPr>
        <w:spacing w:before="0" w:after="60"/>
        <w:ind w:left="1" w:hanging="2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Must receive task alerts for actions due within 7 days (review, renewal, obligation)</w:t>
      </w:r>
    </w:p>
    <w:p>
      <w:pPr>
        <w:spacing w:before="0" w:after="60"/>
        <w:ind w:left="2" w:hanging="2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Must be able to track contract approval status at any stage without emailing the approver</w:t>
      </w:r>
    </w:p>
    <w:p>
      <w:pPr>
        <w:spacing w:before="0" w:after="60"/>
        <w:ind w:left="3" w:hanging="2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Must be able to extract key fields from uploaded PDFs without manual re-entry</w:t>
      </w:r>
    </w:p>
    <w:p>
      <w:pPr>
        <w:spacing w:before="8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Head of Legal / General Counsel</w:t>
      </w:r>
    </w:p>
    <w:p>
      <w:pPr>
        <w:spacing w:before="0" w:after="60"/>
        <w:ind w:left="0" w:hanging="2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Must have a single dashboard showing all active contracts, expiry status, and open obligations across all entities</w:t>
      </w:r>
    </w:p>
    <w:p>
      <w:pPr>
        <w:spacing w:before="0" w:after="60"/>
        <w:ind w:left="1" w:hanging="2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Must be able to define approval workflows per contract type without IT involvement</w:t>
      </w:r>
    </w:p>
    <w:p>
      <w:pPr>
        <w:spacing w:before="0" w:after="60"/>
        <w:ind w:left="2" w:hanging="2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Must receive weekly digest of contracts expiring within 60 days across the group</w:t>
      </w:r>
    </w:p>
    <w:p>
      <w:pPr>
        <w:spacing w:before="0" w:after="60"/>
        <w:ind w:left="3" w:hanging="2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Must be able to generate a complete contract health report for any OpCo in under 5 minutes</w:t>
      </w:r>
    </w:p>
    <w:p>
      <w:pPr>
        <w:spacing w:before="0" w:after="60"/>
        <w:ind w:left="4" w:hanging="2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Must be able to restrict contract visibility by entity, counterparty sensitivity, and privilege</w:t>
      </w:r>
    </w:p>
    <w:p>
      <w:pPr>
        <w:spacing w:before="8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CFO / Finance</w:t>
      </w:r>
    </w:p>
    <w:p>
      <w:pPr>
        <w:spacing w:before="0" w:after="60"/>
        <w:ind w:left="0" w:hanging="2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Must be able to see total committed contract spend by entity, category, and currency</w:t>
      </w:r>
    </w:p>
    <w:p>
      <w:pPr>
        <w:spacing w:before="0" w:after="60"/>
        <w:ind w:left="1" w:hanging="2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Must receive automatic alert when any contract with financial exposure exceeds an approval threshold without sign-off</w:t>
      </w:r>
    </w:p>
    <w:p>
      <w:pPr>
        <w:spacing w:before="0" w:after="60"/>
        <w:ind w:left="2" w:hanging="2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Must be able to view 12-month contract renewal cost forecast for budget planning</w:t>
      </w:r>
    </w:p>
    <w:p>
      <w:pPr>
        <w:spacing w:before="0" w:after="60"/>
        <w:ind w:left="3" w:hanging="2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Must see all contracts with auto-renewal clauses and the opt-out deadline for each</w:t>
      </w:r>
    </w:p>
    <w:p>
      <w:pPr>
        <w:spacing w:before="8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COO / Operations</w:t>
      </w:r>
    </w:p>
    <w:p>
      <w:pPr>
        <w:spacing w:before="0" w:after="60"/>
        <w:ind w:left="0" w:hanging="2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Must be able to see which contracts are operationally critical (service continuity risk if terminated)</w:t>
      </w:r>
    </w:p>
    <w:p>
      <w:pPr>
        <w:spacing w:before="0" w:after="60"/>
        <w:ind w:left="1" w:hanging="2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Must receive alert when an operationally critical contract is within 60 days of expiry without renewal action initiated</w:t>
      </w:r>
    </w:p>
    <w:p>
      <w:pPr>
        <w:spacing w:before="0" w:after="60"/>
        <w:ind w:left="2" w:hanging="2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Must be able to view active SLA obligations and their current compliance status</w:t>
      </w:r>
    </w:p>
    <w:p>
      <w:pPr>
        <w:spacing w:before="0" w:after="60"/>
        <w:ind w:left="3" w:hanging="2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Must be able to run a cascade simulation: if Vendor X contract is terminated, what operations are affected?</w:t>
      </w:r>
    </w:p>
    <w:p>
      <w:pPr>
        <w:spacing w:before="8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Board / C-Suite</w:t>
      </w:r>
    </w:p>
    <w:p>
      <w:pPr>
        <w:spacing w:before="0" w:after="60"/>
        <w:ind w:left="0" w:hanging="2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Must receive monthly Contract Health Index (CHI) per OpCo as part of board compliance pack</w:t>
      </w:r>
    </w:p>
    <w:p>
      <w:pPr>
        <w:spacing w:before="0" w:after="60"/>
        <w:ind w:left="1" w:hanging="2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Must be able to see top 5 contract risk items across the group in a single view</w:t>
      </w:r>
    </w:p>
    <w:p>
      <w:pPr>
        <w:spacing w:before="0" w:after="60"/>
        <w:ind w:left="2" w:hanging="2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Must have visibility into year-on-year contract volume, value, and risk trend</w:t>
      </w:r>
    </w:p>
    <w:p>
      <w:pPr>
        <w:spacing w:before="120" w:after="0"/>
      </w:pPr>
    </w:p>
    <w:p>
      <w:pPr>
        <w:spacing w:before="200" w:after="0"/>
      </w:pPr>
    </w:p>
    <w:p>
      <w:pPr>
        <w:shd w:fill="0A1628" w:val="clear"/>
        <w:spacing w:before="0" w:after="0"/>
      </w:pPr>
      <w:r>
        <w:rPr>
          <w:rFonts w:ascii="Arial" w:cs="Arial" w:eastAsia="Arial" w:hAnsi="Arial"/>
          <w:b/>
          <w:bCs/>
          <w:color w:val="2E86C1"/>
          <w:spacing w:val="50"/>
          <w:sz w:val="16"/>
          <w:szCs w:val="16"/>
        </w:rPr>
        <w:t xml:space="preserve">  BRD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|  BR-03  Business Rules</w:t>
      </w:r>
    </w:p>
    <w:p>
      <w:pPr>
        <w:pBdr>
          <w:bottom w:val="single" w:color="0D9488" w:sz="4" w:space="0"/>
        </w:pBdr>
        <w:shd w:fill="2E86C1" w:val="clear"/>
        <w:spacing w:before="0" w:after="16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blHeader/>
        </w:trP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ID</w:t>
            </w:r>
          </w:p>
        </w:tc>
        <w:tc>
          <w:tcPr>
            <w:tcW w:type="dxa" w:w="7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BR-001</w:t>
            </w:r>
          </w:p>
        </w:tc>
        <w:tc>
          <w:tcPr>
            <w:tcW w:type="dxa" w:w="7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Every contract must be linked to at least one OpCo. Contracts spanning multiple OpCos must be replicated in each relevant entity's view.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BR-002</w:t>
            </w:r>
          </w:p>
        </w:tc>
        <w:tc>
          <w:tcPr>
            <w:tcW w:type="dxa" w:w="7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A contract may only be marked as executed if the signatory is validated against an active, in-scope POA in the POA register. If no valid POA exists, the system must flag the contract as 'Authority Unverified'.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BR-003</w:t>
            </w:r>
          </w:p>
        </w:tc>
        <w:tc>
          <w:tcPr>
            <w:tcW w:type="dxa" w:w="7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All contracts with a defined expiry date must have renewal alerts set at 90, 60, and 30 days automatically. These alerts cannot be suppressed without head of legal override.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BR-004</w:t>
            </w:r>
          </w:p>
        </w:tc>
        <w:tc>
          <w:tcPr>
            <w:tcW w:type="dxa" w:w="7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Contracts containing data processing scope (identified by AI or manual tag) must be automatically linked to the Data Sovereignty module and flagged for PDPL review.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BR-005</w:t>
            </w:r>
          </w:p>
        </w:tc>
        <w:tc>
          <w:tcPr>
            <w:tcW w:type="dxa" w:w="7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A contract marked 'Executed' without a signed document uploaded must carry a 'Document Missing' flag visible to the Head of Legal and auditors.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BR-006</w:t>
            </w:r>
          </w:p>
        </w:tc>
        <w:tc>
          <w:tcPr>
            <w:tcW w:type="dxa" w:w="7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Contract value above a configurable threshold (default: AED 500,000) must trigger a multi-stage approval workflow. Default levels: Head of Legal → COO → CEO.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BR-007</w:t>
            </w:r>
          </w:p>
        </w:tc>
        <w:tc>
          <w:tcPr>
            <w:tcW w:type="dxa" w:w="7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Contracts with a counterparty appearing in the litigation register must carry a 'Counterparty in Litigation' flag on the contract record.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BR-008</w:t>
            </w:r>
          </w:p>
        </w:tc>
        <w:tc>
          <w:tcPr>
            <w:tcW w:type="dxa" w:w="7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Confidentiality and strategy notes on a contract must not be surfaced in CFO or board-level exports. These fields are restricted to Head of Legal and above.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BR-009</w:t>
            </w:r>
          </w:p>
        </w:tc>
        <w:tc>
          <w:tcPr>
            <w:tcW w:type="dxa" w:w="7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Contract obligations extracted by AI must be reviewed and confirmed by a legal team member before they trigger deadline alerts. AI draft status must be visually distinct from confirmed status.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BR-010</w:t>
            </w:r>
          </w:p>
        </w:tc>
        <w:tc>
          <w:tcPr>
            <w:tcW w:type="dxa" w:w="7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The Contract Health Index (CHI) contribution to LOHS must be recalculated on every contract status change event — upload, execution, expiry, renewal, obligation confirmation.</w:t>
            </w:r>
          </w:p>
        </w:tc>
      </w:tr>
    </w:tbl>
    <w:p>
      <w:pPr>
        <w:spacing w:before="120" w:after="0"/>
      </w:pPr>
    </w:p>
    <w:p>
      <w:pPr>
        <w:spacing w:before="200" w:after="0"/>
      </w:pPr>
    </w:p>
    <w:p>
      <w:pPr>
        <w:shd w:fill="0A1628" w:val="clear"/>
        <w:spacing w:before="0" w:after="0"/>
      </w:pPr>
      <w:r>
        <w:rPr>
          <w:rFonts w:ascii="Arial" w:cs="Arial" w:eastAsia="Arial" w:hAnsi="Arial"/>
          <w:b/>
          <w:bCs/>
          <w:color w:val="2E86C1"/>
          <w:spacing w:val="50"/>
          <w:sz w:val="16"/>
          <w:szCs w:val="16"/>
        </w:rPr>
        <w:t xml:space="preserve">  BRD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|  BR-04  Integration Requirements</w:t>
      </w:r>
    </w:p>
    <w:p>
      <w:pPr>
        <w:pBdr>
          <w:bottom w:val="single" w:color="0D9488" w:sz="4" w:space="0"/>
        </w:pBdr>
        <w:shd w:fill="2E86C1" w:val="clear"/>
        <w:spacing w:before="0" w:after="16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before="0" w:after="100"/>
        <w:ind w:left="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The CLM module must integrate with the following existing Raqib modules and external systems: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Integration Point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Requirement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POA Register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Bi-directional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Contract signatory field pulls from active POA register. POA expiry triggers 'Authority Expiring' alert on linked contracts.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Entity / OpCo Register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Read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Every contract must be linked to one or more OpCos. Entity metadata (jurisdiction, sector) determines applicable contract rules.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Litigation Register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Read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Counterparty names on contracts cross-referenced against active litigation records. Alert when overlap detected.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Data Sovereignty Module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Write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Contracts tagged as containing data processing scope automatically create a data processing agreement record in the Data Sovereignty module.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LOHS Score Engine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Write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Contract Health Index (CHI) feeds into LOHS calculation. CHI is a new LOHS pillar with sector-weighted contribution.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Azure Blob Storage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Read/Write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All contract documents stored in Azure Blob Storage (UAE North). Full-text OCR indexed for search.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DocuSign / Adobe Sign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Bi-directional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Phase 2: E-signature workflow integration. Executed document returned to register automatically on completion.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ERP / Finance System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Phase 2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Contract committed liability exported to finance system for budget reconciliation and cash flow planning.</w:t>
            </w:r>
          </w:p>
        </w:tc>
      </w:tr>
    </w:tbl>
    <w:p>
      <w:pPr>
        <w:spacing w:before="120" w:after="0"/>
      </w:pPr>
    </w:p>
    <w:p>
      <w:pPr>
        <w:spacing w:before="200" w:after="0"/>
      </w:pPr>
    </w:p>
    <w:p>
      <w:pPr>
        <w:shd w:fill="0A1628" w:val="clear"/>
        <w:spacing w:before="0" w:after="0"/>
      </w:pPr>
      <w:r>
        <w:rPr>
          <w:rFonts w:ascii="Arial" w:cs="Arial" w:eastAsia="Arial" w:hAnsi="Arial"/>
          <w:b/>
          <w:bCs/>
          <w:color w:val="2E86C1"/>
          <w:spacing w:val="50"/>
          <w:sz w:val="16"/>
          <w:szCs w:val="16"/>
        </w:rPr>
        <w:t xml:space="preserve">  BRD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|  BR-05  Success Criteria — Business Outcomes</w:t>
      </w:r>
    </w:p>
    <w:p>
      <w:pPr>
        <w:pBdr>
          <w:bottom w:val="single" w:color="0D9488" w:sz="4" w:space="0"/>
        </w:pBdr>
        <w:shd w:fill="2E86C1" w:val="clear"/>
        <w:spacing w:before="0" w:after="16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Success Criterion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Metric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Missed renewal rate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Zero missed contract renewals within 90 days of activation for all contracts in system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Contract retrieval time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90% of contracts retrieved in under 60 seconds from any device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Obligation tracking coverage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100% of executed contracts have at least one obligation or renewal date tracked within 48 hours of upload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Approval workflow adoption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85% of contracts above threshold value processed through digital workflow (not email) within 60 days of go-live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CFO visibility satisfaction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CFO can produce group-wide committed liability report in under 10 minutes without legal team involvement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LOHS CHI integration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Contract Health Index visible on OpCo dashboard within first reporting cycle after go-live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POA signatory validation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100% of contracts uploaded with signatory name validated against POA register within 24 hours</w:t>
            </w:r>
          </w:p>
        </w:tc>
      </w:tr>
    </w:tbl>
    <w:p>
      <w:pPr>
        <w:spacing w:before="160" w:after="0"/>
      </w:pPr>
    </w:p>
    <w:p>
      <w:r>
        <w:br w:type="page"/>
      </w:r>
    </w:p>
    <w:p>
      <w:pPr>
        <w:shd w:fill="0A1628" w:val="clear"/>
        <w:spacing w:before="0" w:after="60"/>
      </w:pPr>
      <w:r>
        <w:rPr>
          <w:rFonts w:ascii="Arial" w:cs="Arial" w:eastAsia="Arial" w:hAnsi="Arial"/>
          <w:b/>
          <w:bCs/>
          <w:color w:val="2E86C1"/>
          <w:spacing w:val="80"/>
          <w:sz w:val="28"/>
          <w:szCs w:val="28"/>
        </w:rPr>
        <w:t xml:space="preserve">   PART C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 PRODUCT REQUIREMENTS DOCUMENT  (PRD)</w:t>
      </w:r>
    </w:p>
    <w:p>
      <w:pPr>
        <w:pBdr>
          <w:bottom w:val="single" w:color="0D9488" w:sz="6" w:space="1"/>
        </w:pBdr>
        <w:spacing w:before="0" w:after="0"/>
      </w:pPr>
    </w:p>
    <w:p>
      <w:pPr>
        <w:spacing w:before="80" w:after="0"/>
      </w:pPr>
    </w:p>
    <w:p>
      <w:pPr>
        <w:spacing w:before="200" w:after="0"/>
      </w:pPr>
    </w:p>
    <w:p>
      <w:pPr>
        <w:shd w:fill="0A1628" w:val="clear"/>
        <w:spacing w:before="0" w:after="0"/>
      </w:pPr>
      <w:r>
        <w:rPr>
          <w:rFonts w:ascii="Arial" w:cs="Arial" w:eastAsia="Arial" w:hAnsi="Arial"/>
          <w:b/>
          <w:bCs/>
          <w:color w:val="2E86C1"/>
          <w:spacing w:val="50"/>
          <w:sz w:val="16"/>
          <w:szCs w:val="16"/>
        </w:rPr>
        <w:t xml:space="preserve">  PRD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|  PR-01  Product Vision &amp; Scope</w:t>
      </w:r>
    </w:p>
    <w:p>
      <w:pPr>
        <w:pBdr>
          <w:bottom w:val="single" w:color="0D9488" w:sz="4" w:space="0"/>
        </w:pBdr>
        <w:shd w:fill="2E86C1" w:val="clear"/>
        <w:spacing w:before="0" w:after="16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top w:val="single" w:color="2E86C1" w:sz="3"/>
          <w:left w:val="single" w:color="2E86C1" w:sz="14"/>
          <w:right w:val="single" w:color="2E86C1" w:sz="3"/>
        </w:pBdr>
        <w:shd w:fill="EBF5FB" w:val="clear"/>
        <w:spacing w:before="0" w:after="40"/>
        <w:ind w:left="180" w:right="160"/>
      </w:pPr>
      <w:r>
        <w:rPr>
          <w:rFonts w:ascii="Arial" w:cs="Arial" w:eastAsia="Arial" w:hAnsi="Arial"/>
          <w:b/>
          <w:bCs/>
          <w:color w:val="2E86C1"/>
          <w:sz w:val="19"/>
          <w:szCs w:val="19"/>
        </w:rPr>
        <w:t xml:space="preserve">Product Vision Statement</w:t>
      </w:r>
    </w:p>
    <w:p>
      <w:pPr>
        <w:pBdr>
          <w:bottom w:val="single" w:color="2E86C1" w:sz="3"/>
          <w:left w:val="single" w:color="2E86C1" w:sz="14"/>
          <w:right w:val="single" w:color="2E86C1" w:sz="3"/>
        </w:pBdr>
        <w:shd w:fill="EBF5FB" w:val="clear"/>
        <w:spacing w:before="0" w:after="0"/>
        <w:ind w:left="180" w:right="160"/>
      </w:pPr>
      <w:r>
        <w:rPr>
          <w:rFonts w:ascii="Arial" w:cs="Arial" w:eastAsia="Arial" w:hAnsi="Arial"/>
          <w:color w:val="475569"/>
          <w:sz w:val="17"/>
          <w:szCs w:val="17"/>
        </w:rPr>
        <w:t xml:space="preserve">The Raqib Contract Lifecycle Management module is the GCC's first contract intelligence platform embedded inside a unified legal and compliance command centre — converting every contract from a static document into a live, managed, and measurable business asset that drives accountability, protects commercial relationships, and quantifies organisational risk in real time.</w:t>
      </w:r>
    </w:p>
    <w:p>
      <w:pPr>
        <w:spacing w:before="120" w:after="0"/>
      </w:pPr>
    </w:p>
    <w:p>
      <w:pPr>
        <w:pBdr>
          <w:left w:val="single" w:color="2E86C1" w:sz="12" w:space="6"/>
        </w:pBdr>
        <w:spacing w:before="200" w:after="80"/>
        <w:ind w:left="1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Module Scope — What Is Included</w:t>
      </w:r>
    </w:p>
    <w:p>
      <w:pPr>
        <w:spacing w:before="0" w:after="60"/>
        <w:ind w:left="0" w:hanging="2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Contract repository with full-text search and AI-assisted classification</w:t>
      </w:r>
    </w:p>
    <w:p>
      <w:pPr>
        <w:spacing w:before="0" w:after="60"/>
        <w:ind w:left="1" w:hanging="2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Contract creation wizard with GCC-specific template library (NDA, SLA, Vendor, Employment, Lease, JV, Agency)</w:t>
      </w:r>
    </w:p>
    <w:p>
      <w:pPr>
        <w:spacing w:before="0" w:after="60"/>
        <w:ind w:left="2" w:hanging="2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AI obligation and key date extraction with human confirmation workflow</w:t>
      </w:r>
    </w:p>
    <w:p>
      <w:pPr>
        <w:spacing w:before="0" w:after="60"/>
        <w:ind w:left="3" w:hanging="2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Multi-stage approval workflow builder with delegation and mobile approval</w:t>
      </w:r>
    </w:p>
    <w:p>
      <w:pPr>
        <w:spacing w:before="0" w:after="60"/>
        <w:ind w:left="4" w:hanging="2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Renewal alert engine: 90/60/30-day configurable alerts with escalation</w:t>
      </w:r>
    </w:p>
    <w:p>
      <w:pPr>
        <w:spacing w:before="0" w:after="60"/>
        <w:ind w:left="5" w:hanging="2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Signatory validation against live POA register</w:t>
      </w:r>
    </w:p>
    <w:p>
      <w:pPr>
        <w:spacing w:before="0" w:after="60"/>
        <w:ind w:left="6" w:hanging="2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Contract Health Index (CHI) scoring and LOHS integration</w:t>
      </w:r>
    </w:p>
    <w:p>
      <w:pPr>
        <w:spacing w:before="0" w:after="60"/>
        <w:ind w:left="7" w:hanging="2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Counterparty risk cross-reference with litigation register</w:t>
      </w:r>
    </w:p>
    <w:p>
      <w:pPr>
        <w:spacing w:before="0" w:after="60"/>
        <w:ind w:left="8" w:hanging="2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CFO committed liability dashboard with 12-month renewal cost forecast</w:t>
      </w:r>
    </w:p>
    <w:p>
      <w:pPr>
        <w:spacing w:before="0" w:after="60"/>
        <w:ind w:left="9" w:hanging="2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Data processing contract tagging with PDPL compliance flag</w:t>
      </w:r>
    </w:p>
    <w:p>
      <w:pPr>
        <w:spacing w:before="0" w:after="60"/>
        <w:ind w:left="10" w:hanging="2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Audit trail: every action, view, edit, approval, and download logged</w:t>
      </w:r>
    </w:p>
    <w:p>
      <w:pPr>
        <w:spacing w:before="0" w:after="60"/>
        <w:ind w:left="11" w:hanging="2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One-click contract data room export (PDF bundle, Excel index, audit log)</w:t>
      </w:r>
    </w:p>
    <w:p>
      <w:pPr>
        <w:spacing w:before="80" w:after="0"/>
      </w:pPr>
    </w:p>
    <w:p>
      <w:pPr>
        <w:pBdr>
          <w:left w:val="single" w:color="2E86C1" w:sz="12" w:space="6"/>
        </w:pBdr>
        <w:spacing w:before="200" w:after="80"/>
        <w:ind w:left="1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Module Scope — What Is Explicitly Excluded (Phase 1)</w:t>
      </w:r>
    </w:p>
    <w:p>
      <w:pPr>
        <w:spacing w:before="0" w:after="60"/>
        <w:ind w:left="0" w:hanging="2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E-signature integration (Phase 2)</w:t>
      </w:r>
    </w:p>
    <w:p>
      <w:pPr>
        <w:spacing w:before="0" w:after="60"/>
        <w:ind w:left="1" w:hanging="2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ERP / finance system connector (Phase 2)</w:t>
      </w:r>
    </w:p>
    <w:p>
      <w:pPr>
        <w:spacing w:before="0" w:after="60"/>
        <w:ind w:left="2" w:hanging="2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AI contract drafting and clause suggestion (Phase 3)</w:t>
      </w:r>
    </w:p>
    <w:p>
      <w:pPr>
        <w:spacing w:before="0" w:after="60"/>
        <w:ind w:left="3" w:hanging="2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External counterparty portal for collaborative negotiation (Phase 3)</w:t>
      </w:r>
    </w:p>
    <w:p>
      <w:pPr>
        <w:spacing w:before="0" w:after="60"/>
        <w:ind w:left="4" w:hanging="24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Predictive contract risk modelling using historical outcomes (Phase 3)</w:t>
      </w:r>
    </w:p>
    <w:p>
      <w:pPr>
        <w:spacing w:before="120" w:after="0"/>
      </w:pPr>
    </w:p>
    <w:p>
      <w:pPr>
        <w:spacing w:before="200" w:after="0"/>
      </w:pPr>
    </w:p>
    <w:p>
      <w:pPr>
        <w:shd w:fill="0A1628" w:val="clear"/>
        <w:spacing w:before="0" w:after="0"/>
      </w:pPr>
      <w:r>
        <w:rPr>
          <w:rFonts w:ascii="Arial" w:cs="Arial" w:eastAsia="Arial" w:hAnsi="Arial"/>
          <w:b/>
          <w:bCs/>
          <w:color w:val="2E86C1"/>
          <w:spacing w:val="50"/>
          <w:sz w:val="16"/>
          <w:szCs w:val="16"/>
        </w:rPr>
        <w:t xml:space="preserve">  PRD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|  PR-02  Feature Specifications</w:t>
      </w:r>
    </w:p>
    <w:p>
      <w:pPr>
        <w:pBdr>
          <w:bottom w:val="single" w:color="0D9488" w:sz="4" w:space="0"/>
        </w:pBdr>
        <w:shd w:fill="2E86C1" w:val="clear"/>
        <w:spacing w:before="0" w:after="16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left w:val="single" w:color="2E86C1" w:sz="12" w:space="6"/>
        </w:pBdr>
        <w:spacing w:before="200" w:after="80"/>
        <w:ind w:left="1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Feature 1 — Contract Register</w:t>
      </w:r>
    </w:p>
    <w:p>
      <w:pPr>
        <w:spacing w:before="0" w:after="100"/>
        <w:ind w:left="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The contract register is the central table of every contract across every OpCo. It is the primary navigation surface and the source of all downstream intelligence.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Feature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Contract ID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System-generated unique identifier. Format: {OpCo}-{Year}-{Type}-{Seq}. Example: MSDR-2025-VND-0047.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Contract Type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Enumerated: NDA | Vendor/Supplier | Customer/Revenue | Employment | Lease/Property | JV/Partnership | Loan/Finance | Government/Regulatory | Other.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Counterparty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Legal name (mandatory) + commercial name (optional) + CR/registration number (optional). Cross-referenced against litigation register automatically.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Linked Entity / OpCo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One or many OpCos. Each linked OpCo sees the contract in its own register view.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Effective Date / Expiry Date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Mandatory for fixed-term contracts. System auto-computes days remaining and RAG status: Green (&gt;90 days), Amber (30–90), Red (&lt;30), Grey (expired).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Contract Value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AED equivalent mandatory for all commercial contracts above AED 10,000. Enables CFO committed liability calculation.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Enumerated: Draft | Under Review | Pending Approval | Executed | Active | Expired | Terminated | Archived.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Signatory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Person name + role. Validated against POA register. Flag if no matching active POA found.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Auto-Renewal Clause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Boolean flag. If Yes: captures opt-out notice period (days) and calculates opt-out deadline automatically.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Confidentiality Level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Standard | Sensitive | Privileged. Privileged contracts restricted to Head of Legal and above in all exports and views.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Documents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Executed contract (PDF/DOCX), annexures, amendments, correspondence. All OCR-indexed for full-text search.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AI Extracted Fields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Governing law, dispute resolution, termination notice period, key milestones, payment terms. Shown with 'AI Draft' flag until confirmed.</w:t>
            </w:r>
          </w:p>
        </w:tc>
      </w:tr>
    </w:tbl>
    <w:p>
      <w:pPr>
        <w:spacing w:before="120" w:after="0"/>
      </w:pPr>
    </w:p>
    <w:p>
      <w:pPr>
        <w:pBdr>
          <w:left w:val="single" w:color="2E86C1" w:sz="12" w:space="6"/>
        </w:pBdr>
        <w:spacing w:before="200" w:after="80"/>
        <w:ind w:left="1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Feature 2 — AI Obligation Extraction Engine</w:t>
      </w:r>
    </w:p>
    <w:p>
      <w:pPr>
        <w:spacing w:before="0" w:after="100"/>
        <w:ind w:left="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On document upload, the AI engine analyses the contract body and extracts obligations, deadlines, and SLA thresholds automatically. These become tracked items in the obligation register assigned to named owners.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Obligation Type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Extraction Logic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Action Required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Payment milestones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Identifies clauses with amount + date or period. Extracts payment schedule.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Confirm amount, date, and assign to finance owner.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Service delivery deadlines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Identifies delivery or completion obligations with defined dates or windows.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Confirm deadline, assign to operations owner.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Renewal / opt-out notices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Identifies renewal terms and notice periods. Calculates opt-out deadline from effective date.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Confirm extracted dates. Auto-alert activated on confirmation.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Insurance / certification requirements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Identifies counterparty obligations to maintain insurance, certifications, or licences.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Confirm and set annual verification reminder.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Reporting obligations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Identifies requirements to submit reports, audits, or attestations.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Confirm frequency and assign owner.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Data protection clauses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Identifies data processing, PDPL, GDPR, or data localisation references.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Tag as DPA contract. Linked to Data Sovereignty module.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Penalty / liquidated damages clauses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Identifies financial penalties for breach or delay.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Confirm penalty amount. Surfaced in CFO exposure view.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Governing law / jurisdiction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Extracts applicable law and dispute resolution forum.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Confirm. Used to determine applicable regulatory framework.</w:t>
            </w:r>
          </w:p>
        </w:tc>
      </w:tr>
    </w:tbl>
    <w:p>
      <w:pPr>
        <w:spacing w:before="120" w:after="0"/>
      </w:pPr>
    </w:p>
    <w:p>
      <w:pPr>
        <w:pBdr>
          <w:left w:val="single" w:color="2E86C1" w:sz="12" w:space="6"/>
        </w:pBdr>
        <w:spacing w:before="200" w:after="80"/>
        <w:ind w:left="1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Feature 3 — Approval Workflow Engine</w:t>
      </w:r>
    </w:p>
    <w:p>
      <w:pPr>
        <w:spacing w:before="0" w:after="100"/>
        <w:ind w:left="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Contracts above defined value thresholds or of specified types are routed through a configurable multi-stage approval workflow. The workflow engine is a no-code builder accessible to the Head of Legal without IT involvement.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 Feature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Workflow trigger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Contract value threshold (configurable per entity) | Contract type | Counterparty category | Manual escalation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Stage configuration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Up to 6 sequential stages. Each stage: approver (role or person), action (approve / reject / request revision), deadline (hours), escalation path if overdue.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Parallel approval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Phase 2. Some workflows require simultaneous sign-off from Legal and Finance. Configurable parallel branches.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Mobile approval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All approval actions available on mobile. Approver receives push notification with contract summary, key terms, and one-tap approve/reject.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Delegation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Any approver can delegate to a named substitute for a defined period. Delegation logged in audit trail.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Redline / version control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During review stage, reviewers can comment on specific clauses. Version history maintained. Final approved version locked.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Audit trail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Every stage transition, approval, rejection, comment, and delegation logged with timestamp, user, and IP address. Immutable.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Bypass prevention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Contracts above threshold cannot be moved to 'Executed' status without completed workflow. System enforces, not process.</w:t>
            </w:r>
          </w:p>
        </w:tc>
      </w:tr>
    </w:tbl>
    <w:p>
      <w:pPr>
        <w:spacing w:before="120" w:after="0"/>
      </w:pPr>
    </w:p>
    <w:p>
      <w:pPr>
        <w:pBdr>
          <w:left w:val="single" w:color="2E86C1" w:sz="12" w:space="6"/>
        </w:pBdr>
        <w:spacing w:before="200" w:after="80"/>
        <w:ind w:left="1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Feature 4 — Contract Health Index (CHI)</w:t>
      </w:r>
    </w:p>
    <w:p>
      <w:pPr>
        <w:spacing w:before="0" w:after="100"/>
        <w:ind w:left="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The Contract Health Index is a 0–100 score per OpCo measuring the completeness, currency, and compliance of the organisation's active contract portfolio. It feeds directly into the LOHS alongside POA, IP, Licence, and Litigation health signals.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CHI Component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Scoring Logic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Contract completeness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25%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% of contracts with executed document uploaded, signatory confirmed, and key dates populated.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Renewal currency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30%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% of contracts not within red zone (&lt;30 days to expiry without renewal action). Expired contracts score 0 for this component.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Obligation tracking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20%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% of active contracts with at least one confirmed obligation or key date tracked and assigned to an owner.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Approval compliance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15%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% of contracts above value threshold that followed the defined approval workflow. Bypassed contracts penalise this component.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Signatory validation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10%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% of executed contracts where the signatory is validated against an active POA. Unvalidated signatories reduce score.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Active penalties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−5 to −15 pts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Each expired contract with no recorded renewal or termination action: −5 pts. Each unvalidated signatory on an executed contract: −3 pts. Each overdue obligation: −2 pts.</w:t>
            </w:r>
          </w:p>
        </w:tc>
      </w:tr>
    </w:tbl>
    <w:p>
      <w:pPr>
        <w:spacing w:before="120" w:after="0"/>
      </w:pPr>
    </w:p>
    <w:p>
      <w:pPr>
        <w:spacing w:before="200" w:after="0"/>
      </w:pPr>
    </w:p>
    <w:p>
      <w:pPr>
        <w:shd w:fill="0A1628" w:val="clear"/>
        <w:spacing w:before="0" w:after="0"/>
      </w:pPr>
      <w:r>
        <w:rPr>
          <w:rFonts w:ascii="Arial" w:cs="Arial" w:eastAsia="Arial" w:hAnsi="Arial"/>
          <w:b/>
          <w:bCs/>
          <w:color w:val="2E86C1"/>
          <w:spacing w:val="50"/>
          <w:sz w:val="16"/>
          <w:szCs w:val="16"/>
        </w:rPr>
        <w:t xml:space="preserve">  PRD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|  PR-03  User Stories — Priority Backlog</w:t>
      </w:r>
    </w:p>
    <w:p>
      <w:pPr>
        <w:pBdr>
          <w:bottom w:val="single" w:color="0D9488" w:sz="4" w:space="0"/>
        </w:pBdr>
        <w:shd w:fill="2E86C1" w:val="clear"/>
        <w:spacing w:before="0" w:after="16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As a Legal PA, I want to upload a contract PDF and have key fields extracted automatically, so that I do not have to re-type information already in the document.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AI extracts contract type, parties, dates, governing law, and value with ≥80% accuracy. Extracted fields shown as 'AI Draft' pending confirmation. Manual correction available on all fields.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As a Legal PA, I want to receive a task alert when a contract obligation is due within 7 days, so that I can take action before a breach occurs.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Obligation alerts sent via in-app notification and email at 7 days and 1 day before due date. Alerts include contract name, obligation description, assigned owner, and one-click mark-complete action.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As a Head of Legal, I want a dashboard showing all contracts expiring within 60 days across all entities, so that I can prioritise renewal action.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Dashboard filter available: 'Expiring in 30 / 60 / 90 days'. Results grouped by OpCo. Each row shows: contract name, counterparty, expiry date, days remaining, current status, assigned owner.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As a Head of Legal, I want to define a contract approval workflow by type and value without involving IT, so that I can enforce governance without process delays.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No-code workflow builder available in Settings. Workflow applied automatically to new contracts matching the configured trigger. Workflow changes take effect on new contracts only (not retroactive).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As a CFO, I want to see the total committed contract liability across all entities in a single view, so that I can include it in financial planning.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CFO view shows: total committed liability in AED (sum of all active contract values), breakdown by entity and by contract type, 12-month renewal cost calendar, top 10 contracts by value.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As a CFO, I want to receive an alert when any contract with financial exposure is executed without completing the required approval workflow, so that I can investigate potential governance breaches.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System prevents status change to Executed without workflow completion. If bypass attempted, flag raised and CFO notified within 1 hour.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As a COO, I want to see which contracts are operationally critical and which are expiring without renewal action, so that I can prevent service disruption.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Contracts can be tagged 'Operationally Critical'. Tagged contracts in red zone (&lt; 30 days to expiry, no renewal action) appear in COO alert feed. Cascade impact shown if contract terminated.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As a Board member, I want the monthly compliance pack to include a Contract Health Index per entity, so that I can assess legal governance without reading contract details.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CHI score and band included in monthly board pack export per OpCo. Trend arrow vs prior month. Top 3 risk items listed. No contract-level detail surfaced in board view.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As a Compliance Officer, I want contracts containing data processing obligations to be automatically flagged and linked to the Data Sovereignty module, so that PDPL compliance can be tracked without manual cross-referencing.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On upload, AI detects data processing scope. Contract automatically tagged 'DPA Required'. Record created in Data Sovereignty module. Compliance officer notified for review.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As a Head of Legal, I want to generate a complete contract data room export for an M&amp;A due diligence request within 24 hours, so that I do not need to manually compile documents from multiple sources.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One-click 'Data Room Export' generates: PDF bundle of all executed contracts for selected entity, Excel index with key fields, obligation summary, audit log. Delivered within 30 minutes.</w:t>
            </w:r>
          </w:p>
        </w:tc>
      </w:tr>
    </w:tbl>
    <w:p>
      <w:pPr>
        <w:spacing w:before="120" w:after="0"/>
      </w:pPr>
    </w:p>
    <w:p>
      <w:pPr>
        <w:spacing w:before="200" w:after="0"/>
      </w:pPr>
    </w:p>
    <w:p>
      <w:pPr>
        <w:shd w:fill="0A1628" w:val="clear"/>
        <w:spacing w:before="0" w:after="0"/>
      </w:pPr>
      <w:r>
        <w:rPr>
          <w:rFonts w:ascii="Arial" w:cs="Arial" w:eastAsia="Arial" w:hAnsi="Arial"/>
          <w:b/>
          <w:bCs/>
          <w:color w:val="2E86C1"/>
          <w:spacing w:val="50"/>
          <w:sz w:val="16"/>
          <w:szCs w:val="16"/>
        </w:rPr>
        <w:t xml:space="preserve">  PRD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|  PR-04  Implementation Phasing</w:t>
      </w:r>
    </w:p>
    <w:p>
      <w:pPr>
        <w:pBdr>
          <w:bottom w:val="single" w:color="0D9488" w:sz="4" w:space="0"/>
        </w:pBdr>
        <w:shd w:fill="2E86C1" w:val="clear"/>
        <w:spacing w:before="0" w:after="16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left w:val="single" w:color="2E86C1" w:sz="12" w:space="6"/>
        </w:pBdr>
        <w:spacing w:before="200" w:after="80"/>
        <w:ind w:left="1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Phase 1 — Foundation (Months 1–4): Core Register, AI Extraction, Alerts</w:t>
      </w:r>
    </w:p>
    <w:p>
      <w:pPr>
        <w:spacing w:before="40" w:after="0"/>
      </w:pPr>
    </w:p>
    <w:p>
      <w:pPr>
        <w:pBdr>
          <w:top w:val="single" w:color="2E86C1" w:sz="3"/>
          <w:left w:val="single" w:color="2E86C1" w:sz="14"/>
          <w:right w:val="single" w:color="2E86C1" w:sz="3"/>
        </w:pBdr>
        <w:shd w:fill="EBF5FB" w:val="clear"/>
        <w:spacing w:before="0" w:after="40"/>
        <w:ind w:left="180" w:right="160"/>
      </w:pPr>
      <w:r>
        <w:rPr>
          <w:rFonts w:ascii="Arial" w:cs="Arial" w:eastAsia="Arial" w:hAnsi="Arial"/>
          <w:b/>
          <w:bCs/>
          <w:color w:val="2E86C1"/>
          <w:sz w:val="19"/>
          <w:szCs w:val="19"/>
        </w:rPr>
        <w:t xml:space="preserve">Phase 1 Scope</w:t>
      </w:r>
    </w:p>
    <w:p>
      <w:pPr>
        <w:pBdr>
          <w:left w:val="single" w:color="2E86C1" w:sz="14"/>
          <w:right w:val="single" w:color="2E86C1" w:sz="3"/>
        </w:pBdr>
        <w:shd w:fill="EBF5FB" w:val="clear"/>
        <w:spacing w:before="0" w:after="60"/>
        <w:ind w:left="180" w:right="160"/>
      </w:pPr>
      <w:r>
        <w:rPr>
          <w:rFonts w:ascii="Arial" w:cs="Arial" w:eastAsia="Arial" w:hAnsi="Arial"/>
          <w:color w:val="475569"/>
          <w:sz w:val="17"/>
          <w:szCs w:val="17"/>
        </w:rPr>
        <w:t xml:space="preserve">Contract register with full field set. Document upload, OCR indexing, full-text search.</w:t>
      </w:r>
    </w:p>
    <w:p>
      <w:pPr>
        <w:pBdr>
          <w:left w:val="single" w:color="2E86C1" w:sz="14"/>
          <w:right w:val="single" w:color="2E86C1" w:sz="3"/>
        </w:pBdr>
        <w:shd w:fill="EBF5FB" w:val="clear"/>
        <w:spacing w:before="0" w:after="60"/>
        <w:ind w:left="180" w:right="160"/>
      </w:pPr>
      <w:r>
        <w:rPr>
          <w:rFonts w:ascii="Arial" w:cs="Arial" w:eastAsia="Arial" w:hAnsi="Arial"/>
          <w:color w:val="475569"/>
          <w:sz w:val="17"/>
          <w:szCs w:val="17"/>
        </w:rPr>
        <w:t xml:space="preserve">AI obligation and key date extraction with confirmation workflow.</w:t>
      </w:r>
    </w:p>
    <w:p>
      <w:pPr>
        <w:pBdr>
          <w:left w:val="single" w:color="2E86C1" w:sz="14"/>
          <w:right w:val="single" w:color="2E86C1" w:sz="3"/>
        </w:pBdr>
        <w:shd w:fill="EBF5FB" w:val="clear"/>
        <w:spacing w:before="0" w:after="60"/>
        <w:ind w:left="180" w:right="160"/>
      </w:pPr>
      <w:r>
        <w:rPr>
          <w:rFonts w:ascii="Arial" w:cs="Arial" w:eastAsia="Arial" w:hAnsi="Arial"/>
          <w:color w:val="475569"/>
          <w:sz w:val="17"/>
          <w:szCs w:val="17"/>
        </w:rPr>
        <w:t xml:space="preserve">90/60/30-day renewal alert engine. Auto-renewal deadline calculator.</w:t>
      </w:r>
    </w:p>
    <w:p>
      <w:pPr>
        <w:pBdr>
          <w:left w:val="single" w:color="2E86C1" w:sz="14"/>
          <w:right w:val="single" w:color="2E86C1" w:sz="3"/>
        </w:pBdr>
        <w:shd w:fill="EBF5FB" w:val="clear"/>
        <w:spacing w:before="0" w:after="60"/>
        <w:ind w:left="180" w:right="160"/>
      </w:pPr>
      <w:r>
        <w:rPr>
          <w:rFonts w:ascii="Arial" w:cs="Arial" w:eastAsia="Arial" w:hAnsi="Arial"/>
          <w:color w:val="475569"/>
          <w:sz w:val="17"/>
          <w:szCs w:val="17"/>
        </w:rPr>
        <w:t xml:space="preserve">POA signatory validation (read from existing POA register).</w:t>
      </w:r>
    </w:p>
    <w:p>
      <w:pPr>
        <w:pBdr>
          <w:left w:val="single" w:color="2E86C1" w:sz="14"/>
          <w:right w:val="single" w:color="2E86C1" w:sz="3"/>
        </w:pBdr>
        <w:shd w:fill="EBF5FB" w:val="clear"/>
        <w:spacing w:before="0" w:after="60"/>
        <w:ind w:left="180" w:right="160"/>
      </w:pPr>
      <w:r>
        <w:rPr>
          <w:rFonts w:ascii="Arial" w:cs="Arial" w:eastAsia="Arial" w:hAnsi="Arial"/>
          <w:color w:val="475569"/>
          <w:sz w:val="17"/>
          <w:szCs w:val="17"/>
        </w:rPr>
        <w:t xml:space="preserve">Role-based views: Legal PA task view, Head of Legal dashboard, CFO committed liability view.</w:t>
      </w:r>
    </w:p>
    <w:p>
      <w:pPr>
        <w:pBdr>
          <w:left w:val="single" w:color="2E86C1" w:sz="14"/>
          <w:right w:val="single" w:color="2E86C1" w:sz="3"/>
        </w:pBdr>
        <w:shd w:fill="EBF5FB" w:val="clear"/>
        <w:spacing w:before="0" w:after="60"/>
        <w:ind w:left="180" w:right="160"/>
      </w:pPr>
      <w:r>
        <w:rPr>
          <w:rFonts w:ascii="Arial" w:cs="Arial" w:eastAsia="Arial" w:hAnsi="Arial"/>
          <w:color w:val="475569"/>
          <w:sz w:val="17"/>
          <w:szCs w:val="17"/>
        </w:rPr>
        <w:t xml:space="preserve">Contract Health Index (CHI) calculation and LOHS integration.</w:t>
      </w:r>
    </w:p>
    <w:p>
      <w:pPr>
        <w:pBdr>
          <w:left w:val="single" w:color="2E86C1" w:sz="14"/>
          <w:right w:val="single" w:color="2E86C1" w:sz="3"/>
        </w:pBdr>
        <w:shd w:fill="EBF5FB" w:val="clear"/>
        <w:spacing w:before="0" w:after="60"/>
        <w:ind w:left="180" w:right="160"/>
      </w:pPr>
      <w:r>
        <w:rPr>
          <w:rFonts w:ascii="Arial" w:cs="Arial" w:eastAsia="Arial" w:hAnsi="Arial"/>
          <w:color w:val="475569"/>
          <w:sz w:val="17"/>
          <w:szCs w:val="17"/>
        </w:rPr>
        <w:t xml:space="preserve">Board pack export including CHI per OpCo.</w:t>
      </w:r>
    </w:p>
    <w:p>
      <w:pPr>
        <w:pBdr>
          <w:bottom w:val="single" w:color="2E86C1" w:sz="3"/>
          <w:left w:val="single" w:color="2E86C1" w:sz="14"/>
          <w:right w:val="single" w:color="2E86C1" w:sz="3"/>
        </w:pBdr>
        <w:shd w:fill="EBF5FB" w:val="clear"/>
        <w:spacing w:before="0" w:after="0"/>
        <w:ind w:left="180" w:right="160"/>
      </w:pPr>
      <w:r>
        <w:rPr>
          <w:rFonts w:ascii="Arial" w:cs="Arial" w:eastAsia="Arial" w:hAnsi="Arial"/>
          <w:color w:val="475569"/>
          <w:sz w:val="17"/>
          <w:szCs w:val="17"/>
        </w:rPr>
        <w:t xml:space="preserve">Target: Pilot customers live within 8 weeks of development start.</w:t>
      </w:r>
    </w:p>
    <w:p>
      <w:pPr>
        <w:spacing w:before="120" w:after="0"/>
      </w:pPr>
    </w:p>
    <w:p>
      <w:pPr>
        <w:pBdr>
          <w:left w:val="single" w:color="2E86C1" w:sz="12" w:space="6"/>
        </w:pBdr>
        <w:spacing w:before="200" w:after="80"/>
        <w:ind w:left="1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Phase 2 — Workflow &amp; Integrations (Months 5–8)</w:t>
      </w:r>
    </w:p>
    <w:p>
      <w:pPr>
        <w:spacing w:before="40" w:after="0"/>
      </w:pPr>
    </w:p>
    <w:p>
      <w:pPr>
        <w:pBdr>
          <w:top w:val="single" w:color="0D9488" w:sz="3"/>
          <w:left w:val="single" w:color="0D9488" w:sz="14"/>
          <w:right w:val="single" w:color="0D9488" w:sz="3"/>
        </w:pBdr>
        <w:shd w:fill="F0FAFA" w:val="clear"/>
        <w:spacing w:before="0" w:after="40"/>
        <w:ind w:left="180" w:right="16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Phase 2 Scope</w:t>
      </w:r>
    </w:p>
    <w:p>
      <w:pPr>
        <w:pBdr>
          <w:left w:val="single" w:color="0D9488" w:sz="14"/>
          <w:right w:val="single" w:color="0D9488" w:sz="3"/>
        </w:pBdr>
        <w:shd w:fill="F0FAFA" w:val="clear"/>
        <w:spacing w:before="0" w:after="60"/>
        <w:ind w:left="180" w:right="160"/>
      </w:pPr>
      <w:r>
        <w:rPr>
          <w:rFonts w:ascii="Arial" w:cs="Arial" w:eastAsia="Arial" w:hAnsi="Arial"/>
          <w:color w:val="475569"/>
          <w:sz w:val="17"/>
          <w:szCs w:val="17"/>
        </w:rPr>
        <w:t xml:space="preserve">No-code approval workflow builder with mobile approval.</w:t>
      </w:r>
    </w:p>
    <w:p>
      <w:pPr>
        <w:pBdr>
          <w:left w:val="single" w:color="0D9488" w:sz="14"/>
          <w:right w:val="single" w:color="0D9488" w:sz="3"/>
        </w:pBdr>
        <w:shd w:fill="F0FAFA" w:val="clear"/>
        <w:spacing w:before="0" w:after="60"/>
        <w:ind w:left="180" w:right="160"/>
      </w:pPr>
      <w:r>
        <w:rPr>
          <w:rFonts w:ascii="Arial" w:cs="Arial" w:eastAsia="Arial" w:hAnsi="Arial"/>
          <w:color w:val="475569"/>
          <w:sz w:val="17"/>
          <w:szCs w:val="17"/>
        </w:rPr>
        <w:t xml:space="preserve">DocuSign / Adobe Sign e-signature integration. Executed document returned to register automatically.</w:t>
      </w:r>
    </w:p>
    <w:p>
      <w:pPr>
        <w:pBdr>
          <w:left w:val="single" w:color="0D9488" w:sz="14"/>
          <w:right w:val="single" w:color="0D9488" w:sz="3"/>
        </w:pBdr>
        <w:shd w:fill="F0FAFA" w:val="clear"/>
        <w:spacing w:before="0" w:after="60"/>
        <w:ind w:left="180" w:right="160"/>
      </w:pPr>
      <w:r>
        <w:rPr>
          <w:rFonts w:ascii="Arial" w:cs="Arial" w:eastAsia="Arial" w:hAnsi="Arial"/>
          <w:color w:val="475569"/>
          <w:sz w:val="17"/>
          <w:szCs w:val="17"/>
        </w:rPr>
        <w:t xml:space="preserve">ERP / finance system connector for committed liability reconciliation.</w:t>
      </w:r>
    </w:p>
    <w:p>
      <w:pPr>
        <w:pBdr>
          <w:left w:val="single" w:color="0D9488" w:sz="14"/>
          <w:right w:val="single" w:color="0D9488" w:sz="3"/>
        </w:pBdr>
        <w:shd w:fill="F0FAFA" w:val="clear"/>
        <w:spacing w:before="0" w:after="60"/>
        <w:ind w:left="180" w:right="160"/>
      </w:pPr>
      <w:r>
        <w:rPr>
          <w:rFonts w:ascii="Arial" w:cs="Arial" w:eastAsia="Arial" w:hAnsi="Arial"/>
          <w:color w:val="475569"/>
          <w:sz w:val="17"/>
          <w:szCs w:val="17"/>
        </w:rPr>
        <w:t xml:space="preserve">Counterparty litigation cross-reference (reads from Litigation Register).</w:t>
      </w:r>
    </w:p>
    <w:p>
      <w:pPr>
        <w:pBdr>
          <w:left w:val="single" w:color="0D9488" w:sz="14"/>
          <w:right w:val="single" w:color="0D9488" w:sz="3"/>
        </w:pBdr>
        <w:shd w:fill="F0FAFA" w:val="clear"/>
        <w:spacing w:before="0" w:after="60"/>
        <w:ind w:left="180" w:right="160"/>
      </w:pPr>
      <w:r>
        <w:rPr>
          <w:rFonts w:ascii="Arial" w:cs="Arial" w:eastAsia="Arial" w:hAnsi="Arial"/>
          <w:color w:val="475569"/>
          <w:sz w:val="17"/>
          <w:szCs w:val="17"/>
        </w:rPr>
        <w:t xml:space="preserve">Data Sovereignty module integration (PDPL DPA tagging).</w:t>
      </w:r>
    </w:p>
    <w:p>
      <w:pPr>
        <w:pBdr>
          <w:left w:val="single" w:color="0D9488" w:sz="14"/>
          <w:right w:val="single" w:color="0D9488" w:sz="3"/>
        </w:pBdr>
        <w:shd w:fill="F0FAFA" w:val="clear"/>
        <w:spacing w:before="0" w:after="60"/>
        <w:ind w:left="180" w:right="160"/>
      </w:pPr>
      <w:r>
        <w:rPr>
          <w:rFonts w:ascii="Arial" w:cs="Arial" w:eastAsia="Arial" w:hAnsi="Arial"/>
          <w:color w:val="475569"/>
          <w:sz w:val="17"/>
          <w:szCs w:val="17"/>
        </w:rPr>
        <w:t xml:space="preserve">Parallel approval workflows. Delegation and proxy.</w:t>
      </w:r>
    </w:p>
    <w:p>
      <w:pPr>
        <w:pBdr>
          <w:bottom w:val="single" w:color="0D9488" w:sz="3"/>
          <w:left w:val="single" w:color="0D9488" w:sz="14"/>
          <w:right w:val="single" w:color="0D9488" w:sz="3"/>
        </w:pBdr>
        <w:shd w:fill="F0FAFA" w:val="clear"/>
        <w:spacing w:before="0" w:after="0"/>
        <w:ind w:left="180" w:right="160"/>
      </w:pPr>
      <w:r>
        <w:rPr>
          <w:rFonts w:ascii="Arial" w:cs="Arial" w:eastAsia="Arial" w:hAnsi="Arial"/>
          <w:color w:val="475569"/>
          <w:sz w:val="17"/>
          <w:szCs w:val="17"/>
        </w:rPr>
        <w:t xml:space="preserve">Target: Full workflow parity with enterprise CLM tools.</w:t>
      </w:r>
    </w:p>
    <w:p>
      <w:pPr>
        <w:spacing w:before="120" w:after="0"/>
      </w:pPr>
    </w:p>
    <w:p>
      <w:pPr>
        <w:pBdr>
          <w:left w:val="single" w:color="2E86C1" w:sz="12" w:space="6"/>
        </w:pBdr>
        <w:spacing w:before="200" w:after="80"/>
        <w:ind w:left="1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Phase 3 — Intelligence (Months 9–18)</w:t>
      </w:r>
    </w:p>
    <w:p>
      <w:pPr>
        <w:spacing w:before="40" w:after="0"/>
      </w:pPr>
    </w:p>
    <w:p>
      <w:pPr>
        <w:pBdr>
          <w:top w:val="single" w:color="0A1628" w:sz="3"/>
          <w:left w:val="single" w:color="0A1628" w:sz="14"/>
          <w:right w:val="single" w:color="0A1628" w:sz="3"/>
        </w:pBdr>
        <w:shd w:fill="EEF2FF" w:val="clear"/>
        <w:spacing w:before="0" w:after="40"/>
        <w:ind w:left="180" w:right="160"/>
      </w:pPr>
      <w:r>
        <w:rPr>
          <w:rFonts w:ascii="Arial" w:cs="Arial" w:eastAsia="Arial" w:hAnsi="Arial"/>
          <w:b/>
          <w:bCs/>
          <w:color w:val="0A1628"/>
          <w:sz w:val="19"/>
          <w:szCs w:val="19"/>
        </w:rPr>
        <w:t xml:space="preserve">Phase 3 Scope</w:t>
      </w:r>
    </w:p>
    <w:p>
      <w:pPr>
        <w:pBdr>
          <w:left w:val="single" w:color="0A1628" w:sz="14"/>
          <w:right w:val="single" w:color="0A1628" w:sz="3"/>
        </w:pBdr>
        <w:shd w:fill="EEF2FF" w:val="clear"/>
        <w:spacing w:before="0" w:after="60"/>
        <w:ind w:left="180" w:right="160"/>
      </w:pPr>
      <w:r>
        <w:rPr>
          <w:rFonts w:ascii="Arial" w:cs="Arial" w:eastAsia="Arial" w:hAnsi="Arial"/>
          <w:color w:val="475569"/>
          <w:sz w:val="17"/>
          <w:szCs w:val="17"/>
        </w:rPr>
        <w:t xml:space="preserve">AI contract drafting assistant with GCC-specific clause library.</w:t>
      </w:r>
    </w:p>
    <w:p>
      <w:pPr>
        <w:pBdr>
          <w:left w:val="single" w:color="0A1628" w:sz="14"/>
          <w:right w:val="single" w:color="0A1628" w:sz="3"/>
        </w:pBdr>
        <w:shd w:fill="EEF2FF" w:val="clear"/>
        <w:spacing w:before="0" w:after="60"/>
        <w:ind w:left="180" w:right="160"/>
      </w:pPr>
      <w:r>
        <w:rPr>
          <w:rFonts w:ascii="Arial" w:cs="Arial" w:eastAsia="Arial" w:hAnsi="Arial"/>
          <w:color w:val="475569"/>
          <w:sz w:val="17"/>
          <w:szCs w:val="17"/>
        </w:rPr>
        <w:t xml:space="preserve">Predictive renewal recommendation: AI suggests optimal renewal terms based on historical data.</w:t>
      </w:r>
    </w:p>
    <w:p>
      <w:pPr>
        <w:pBdr>
          <w:left w:val="single" w:color="0A1628" w:sz="14"/>
          <w:right w:val="single" w:color="0A1628" w:sz="3"/>
        </w:pBdr>
        <w:shd w:fill="EEF2FF" w:val="clear"/>
        <w:spacing w:before="0" w:after="60"/>
        <w:ind w:left="180" w:right="160"/>
      </w:pPr>
      <w:r>
        <w:rPr>
          <w:rFonts w:ascii="Arial" w:cs="Arial" w:eastAsia="Arial" w:hAnsi="Arial"/>
          <w:color w:val="475569"/>
          <w:sz w:val="17"/>
          <w:szCs w:val="17"/>
        </w:rPr>
        <w:t xml:space="preserve">M&amp;A compliance cost modelling: contract portfolio gaps in target entity quantified in AED.</w:t>
      </w:r>
    </w:p>
    <w:p>
      <w:pPr>
        <w:pBdr>
          <w:left w:val="single" w:color="0A1628" w:sz="14"/>
          <w:right w:val="single" w:color="0A1628" w:sz="3"/>
        </w:pBdr>
        <w:shd w:fill="EEF2FF" w:val="clear"/>
        <w:spacing w:before="0" w:after="60"/>
        <w:ind w:left="180" w:right="160"/>
      </w:pPr>
      <w:r>
        <w:rPr>
          <w:rFonts w:ascii="Arial" w:cs="Arial" w:eastAsia="Arial" w:hAnsi="Arial"/>
          <w:color w:val="475569"/>
          <w:sz w:val="17"/>
          <w:szCs w:val="17"/>
        </w:rPr>
        <w:t xml:space="preserve">External counterparty collaboration portal: invite counterparty to review and mark-up contract in-platform.</w:t>
      </w:r>
    </w:p>
    <w:p>
      <w:pPr>
        <w:pBdr>
          <w:left w:val="single" w:color="0A1628" w:sz="14"/>
          <w:right w:val="single" w:color="0A1628" w:sz="3"/>
        </w:pBdr>
        <w:shd w:fill="EEF2FF" w:val="clear"/>
        <w:spacing w:before="0" w:after="60"/>
        <w:ind w:left="180" w:right="160"/>
      </w:pPr>
      <w:r>
        <w:rPr>
          <w:rFonts w:ascii="Arial" w:cs="Arial" w:eastAsia="Arial" w:hAnsi="Arial"/>
          <w:color w:val="475569"/>
          <w:sz w:val="17"/>
          <w:szCs w:val="17"/>
        </w:rPr>
        <w:t xml:space="preserve">Benchmarking: contract terms vs. GCC market benchmarks (payment terms, notice periods, penalty clauses).</w:t>
      </w:r>
    </w:p>
    <w:p>
      <w:pPr>
        <w:pBdr>
          <w:bottom w:val="single" w:color="0A1628" w:sz="3"/>
          <w:left w:val="single" w:color="0A1628" w:sz="14"/>
          <w:right w:val="single" w:color="0A1628" w:sz="3"/>
        </w:pBdr>
        <w:shd w:fill="EEF2FF" w:val="clear"/>
        <w:spacing w:before="0" w:after="0"/>
        <w:ind w:left="180" w:right="160"/>
      </w:pPr>
      <w:r>
        <w:rPr>
          <w:rFonts w:ascii="Arial" w:cs="Arial" w:eastAsia="Arial" w:hAnsi="Arial"/>
          <w:color w:val="475569"/>
          <w:sz w:val="17"/>
          <w:szCs w:val="17"/>
        </w:rPr>
        <w:t xml:space="preserve">Advanced analytics: contract portfolio risk score, concentration risk by counterparty, sector, and jurisdiction.</w:t>
      </w:r>
    </w:p>
    <w:p>
      <w:pPr>
        <w:spacing w:before="120" w:after="0"/>
      </w:pPr>
    </w:p>
    <w:p>
      <w:pPr>
        <w:spacing w:before="120" w:after="0"/>
      </w:pPr>
    </w:p>
    <w:p>
      <w:pPr>
        <w:spacing w:before="200" w:after="0"/>
      </w:pPr>
    </w:p>
    <w:p>
      <w:pPr>
        <w:shd w:fill="0A1628" w:val="clear"/>
        <w:spacing w:before="0" w:after="0"/>
      </w:pPr>
      <w:r>
        <w:rPr>
          <w:rFonts w:ascii="Arial" w:cs="Arial" w:eastAsia="Arial" w:hAnsi="Arial"/>
          <w:b/>
          <w:bCs/>
          <w:color w:val="2E86C1"/>
          <w:spacing w:val="50"/>
          <w:sz w:val="16"/>
          <w:szCs w:val="16"/>
        </w:rPr>
        <w:t xml:space="preserve">  PRD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|  PR-05  Non-Functional Requirements</w:t>
      </w:r>
    </w:p>
    <w:p>
      <w:pPr>
        <w:pBdr>
          <w:bottom w:val="single" w:color="0D9488" w:sz="4" w:space="0"/>
        </w:pBdr>
        <w:shd w:fill="2E86C1" w:val="clear"/>
        <w:spacing w:before="0" w:after="16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NFR Category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Contract search response time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&lt; 2 seconds for full-text search across 10,000 documents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AI extraction completion time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&lt; 60 seconds for standard contract (up to 50 pages)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Dashboard load time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&lt; 3 seconds on standard broadband connection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Availability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Platform uptime SLA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99.9% uptime (&lt; 8.7 hours downtime/year)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Security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Document storage encryption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AES-256 at rest, TLS 1.3 in transit. Azure Blob Storage, UAE North region.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Security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Access control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Role-based access. Privileged contracts restricted to Head of Legal and above. All access logged.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Security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Audit trail integrity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All audit log entries immutable. Cannot be deleted or modified by any user including administrators.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Compliance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Data residency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All contract data and documents stored in Azure UAE North. No data leaves UAE region by default.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Compliance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Regulatory alignment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PDPL (UAE), KSA PDPL, CBUAE data handling guidelines. Annual compliance attestation.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Scalability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Document volume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Support up to 100,000 contracts per organisation without performance degradation.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Usability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Onboarding time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New user completes first contract upload and search in under 30 minutes without training.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AI Accuracy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Field extraction accuracy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≥ 80% accuracy for key date, party name, and value extraction on standard commercial contracts.</w:t>
            </w:r>
          </w:p>
        </w:tc>
      </w:tr>
    </w:tbl>
    <w:p>
      <w:pPr>
        <w:spacing w:before="120" w:after="0"/>
      </w:pPr>
    </w:p>
    <w:p>
      <w:pPr>
        <w:spacing w:before="200" w:after="0"/>
      </w:pPr>
    </w:p>
    <w:p>
      <w:pPr>
        <w:shd w:fill="0A1628" w:val="clear"/>
        <w:spacing w:before="0" w:after="0"/>
      </w:pPr>
      <w:r>
        <w:rPr>
          <w:rFonts w:ascii="Arial" w:cs="Arial" w:eastAsia="Arial" w:hAnsi="Arial"/>
          <w:b/>
          <w:bCs/>
          <w:color w:val="2E86C1"/>
          <w:spacing w:val="50"/>
          <w:sz w:val="16"/>
          <w:szCs w:val="16"/>
        </w:rPr>
        <w:t xml:space="preserve">  PRD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|  PR-06  Open Decisions for Product Team</w:t>
      </w:r>
    </w:p>
    <w:p>
      <w:pPr>
        <w:pBdr>
          <w:bottom w:val="single" w:color="0D9488" w:sz="4" w:space="0"/>
        </w:pBdr>
        <w:shd w:fill="2E86C1" w:val="clear"/>
        <w:spacing w:before="0" w:after="16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ID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 and Recommendation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D-CLM-01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TEMPLATE LIBRARY SCOPE: Should Phase 1 include a pre-built GCC contract template library (NDA, Vendor, Employment, Lease)? Recommendation: Yes — 7 core templates. Time estimate: 3 additional weeks. Legal review required before publication.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D-CLM-02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AI EXTRACTION MODEL: Use OpenAI GPT-4o (consistent with existing Raqib AI stack) or a specialist contract AI (e.g., Kira, Luminance via API)? Recommendation: GPT-4o for Phase 1 (lower cost, integrated); evaluate specialist model in Phase 2 based on extraction accuracy benchmarks.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D-CLM-03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CHI WEIGHTING IN LOHS: What weight should the Contract Health Index carry in the LOHS calculation? Recommended default weights: Financial Services 25%, Healthcare 20%, Construction 20%, Retail/Consumer 30%. Requires product and commercial team sign-off.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D-CLM-04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COUNTERPARTY RISK DATA: Should the counterparty litigation cross-reference be extended to include external data sources (e.g., Al Etihad Credit Bureau, GCC insolvency registers)? Recommendation: Internal litigation register cross-reference in Phase 1; external data in Phase 2 as premium add-on.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D-CLM-05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ARABIC LANGUAGE SUPPORT: Should Phase 1 AI extraction support Arabic-language contracts? Recommendation: English and Arabic in Phase 1 given GCC regulatory context. Estimate: 4–6 additional weeks for bilingual extraction model validation.</w:t>
            </w:r>
          </w:p>
        </w:tc>
      </w:tr>
    </w:tbl>
    <w:p>
      <w:pPr>
        <w:spacing w:before="120" w:after="0"/>
      </w:pPr>
    </w:p>
    <w:p>
      <w:pPr>
        <w:spacing w:before="200" w:after="0"/>
      </w:pPr>
    </w:p>
    <w:p>
      <w:pPr>
        <w:shd w:fill="0A1628" w:val="clear"/>
        <w:spacing w:before="0" w:after="0"/>
      </w:pPr>
      <w:r>
        <w:rPr>
          <w:rFonts w:ascii="Arial" w:cs="Arial" w:eastAsia="Arial" w:hAnsi="Arial"/>
          <w:b/>
          <w:bCs/>
          <w:color w:val="2E86C1"/>
          <w:spacing w:val="50"/>
          <w:sz w:val="16"/>
          <w:szCs w:val="16"/>
        </w:rPr>
        <w:t xml:space="preserve">  PRD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|  PR-07  Competitive Position</w:t>
      </w:r>
    </w:p>
    <w:p>
      <w:pPr>
        <w:pBdr>
          <w:bottom w:val="single" w:color="0D9488" w:sz="4" w:space="0"/>
        </w:pBdr>
        <w:shd w:fill="2E86C1" w:val="clear"/>
        <w:spacing w:before="0" w:after="16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before="0" w:after="100"/>
        <w:ind w:left="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The following table benchmarks the Raqib CLM against the two most relevant competitors in the GCC market: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0"/>
        <w:gridCol w:w="1760"/>
        <w:gridCol w:w="1760"/>
        <w:gridCol w:w="2800"/>
      </w:tblGrid>
      <w:tr>
        <w:trPr>
          <w:tblHeader/>
        </w:trPr>
        <w:tc>
          <w:tcPr>
            <w:tcW w:type="dxa" w:w="3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Clara (GCC CLM)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DocuSign CLM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Raqib CLM</w:t>
            </w:r>
          </w:p>
        </w:tc>
      </w:tr>
      <w:tr>
        <w:tc>
          <w:tcPr>
            <w:tcW w:type="dxa" w:w="3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GCC-native contract templates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✓✓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✗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✓✓</w:t>
            </w:r>
          </w:p>
        </w:tc>
      </w:tr>
      <w:tr>
        <w:tc>
          <w:tcPr>
            <w:tcW w:type="dxa" w:w="3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Arabic language support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✓✓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7"/>
                <w:szCs w:val="17"/>
              </w:rPr>
              <w:t xml:space="preserve">✓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✓✓</w:t>
            </w:r>
          </w:p>
        </w:tc>
      </w:tr>
      <w:tr>
        <w:tc>
          <w:tcPr>
            <w:tcW w:type="dxa" w:w="3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AI obligation extraction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7"/>
                <w:szCs w:val="17"/>
              </w:rPr>
              <w:t xml:space="preserve">✓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7"/>
                <w:szCs w:val="17"/>
              </w:rPr>
              <w:t xml:space="preserve">✓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✓✓</w:t>
            </w:r>
          </w:p>
        </w:tc>
      </w:tr>
      <w:tr>
        <w:tc>
          <w:tcPr>
            <w:tcW w:type="dxa" w:w="3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POA signatory validation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✗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✗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✓✓</w:t>
            </w:r>
          </w:p>
        </w:tc>
      </w:tr>
      <w:tr>
        <w:tc>
          <w:tcPr>
            <w:tcW w:type="dxa" w:w="3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LOHS / compliance score integration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✗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✗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✓✓</w:t>
            </w:r>
          </w:p>
        </w:tc>
      </w:tr>
      <w:tr>
        <w:tc>
          <w:tcPr>
            <w:tcW w:type="dxa" w:w="3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Litigation counterparty cross-reference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✗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✗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✓✓</w:t>
            </w:r>
          </w:p>
        </w:tc>
      </w:tr>
      <w:tr>
        <w:tc>
          <w:tcPr>
            <w:tcW w:type="dxa" w:w="3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Data Sovereignty / PDPL tagging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✗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✗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✓✓</w:t>
            </w:r>
          </w:p>
        </w:tc>
      </w:tr>
      <w:tr>
        <w:tc>
          <w:tcPr>
            <w:tcW w:type="dxa" w:w="3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CFO committed liability dashboard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✗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7"/>
                <w:szCs w:val="17"/>
              </w:rPr>
              <w:t xml:space="preserve">✓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✓✓</w:t>
            </w:r>
          </w:p>
        </w:tc>
      </w:tr>
      <w:tr>
        <w:tc>
          <w:tcPr>
            <w:tcW w:type="dxa" w:w="3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M&amp;A data room export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✗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✗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✓✓</w:t>
            </w:r>
          </w:p>
        </w:tc>
      </w:tr>
      <w:tr>
        <w:tc>
          <w:tcPr>
            <w:tcW w:type="dxa" w:w="3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Entity / OpCo multi-level structure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✗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✗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✓✓</w:t>
            </w:r>
          </w:p>
        </w:tc>
      </w:tr>
      <w:tr>
        <w:tc>
          <w:tcPr>
            <w:tcW w:type="dxa" w:w="3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E-signature integration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✓✓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✓✓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✓ (Phase 2)</w:t>
            </w:r>
          </w:p>
        </w:tc>
      </w:tr>
      <w:tr>
        <w:tc>
          <w:tcPr>
            <w:tcW w:type="dxa" w:w="3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Time to value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3–6 months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6–12 months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&lt; 8 weeks</w:t>
            </w:r>
          </w:p>
        </w:tc>
      </w:tr>
    </w:tbl>
    <w:p>
      <w:pPr>
        <w:spacing w:before="160" w:after="0"/>
      </w:pPr>
    </w:p>
    <w:p>
      <w:r>
        <w:br w:type="page"/>
      </w:r>
    </w:p>
    <w:p>
      <w:pPr>
        <w:spacing w:before="200" w:after="0"/>
      </w:pPr>
    </w:p>
    <w:p>
      <w:pPr>
        <w:shd w:fill="0A1628" w:val="clear"/>
        <w:spacing w:before="0" w:after="0"/>
      </w:pPr>
      <w:r>
        <w:rPr>
          <w:rFonts w:ascii="Arial" w:cs="Arial" w:eastAsia="Arial" w:hAnsi="Arial"/>
          <w:b/>
          <w:bCs/>
          <w:color w:val="2E86C1"/>
          <w:spacing w:val="50"/>
          <w:sz w:val="16"/>
          <w:szCs w:val="16"/>
        </w:rPr>
        <w:t xml:space="preserve">  APPENDIX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|  A  Document Sign-Off</w:t>
      </w:r>
    </w:p>
    <w:p>
      <w:pPr>
        <w:pBdr>
          <w:bottom w:val="single" w:color="0D9488" w:sz="4" w:space="0"/>
        </w:pBdr>
        <w:shd w:fill="2E86C1" w:val="clear"/>
        <w:spacing w:before="0" w:after="16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Required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Chief Product Officer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Approve business case and initiate Phase 1 scoping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Head of Engineering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Review PRD and provide Phase 1 effort estimate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Head of Legal (Customer Advisory)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Validate BRD stakeholder requirements and business rules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CFO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Validate financial value model and CHI contribution to LOHS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Commercial / GTM Lead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Confirm pricing model for CLM as add-on vs. included module</w:t>
            </w:r>
          </w:p>
        </w:tc>
      </w:tr>
    </w:tbl>
    <w:p>
      <w:pPr>
        <w:spacing w:before="120" w:after="0"/>
      </w:pPr>
    </w:p>
    <w:p>
      <w:pPr>
        <w:spacing w:before="200" w:after="0"/>
      </w:pPr>
    </w:p>
    <w:p>
      <w:pPr>
        <w:shd w:fill="0A1628" w:val="clear"/>
        <w:spacing w:before="0" w:after="0"/>
      </w:pPr>
      <w:r>
        <w:rPr>
          <w:rFonts w:ascii="Arial" w:cs="Arial" w:eastAsia="Arial" w:hAnsi="Arial"/>
          <w:b/>
          <w:bCs/>
          <w:color w:val="2E86C1"/>
          <w:spacing w:val="50"/>
          <w:sz w:val="16"/>
          <w:szCs w:val="16"/>
        </w:rPr>
        <w:t xml:space="preserve">  APPENDIX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|  B  Glossary</w:t>
      </w:r>
    </w:p>
    <w:p>
      <w:pPr>
        <w:pBdr>
          <w:bottom w:val="single" w:color="0D9488" w:sz="4" w:space="0"/>
        </w:pBdr>
        <w:shd w:fill="2E86C1" w:val="clear"/>
        <w:spacing w:before="0" w:after="16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CLM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Contract Lifecycle Management — the end-to-end process of creating, executing, tracking, and renewing contracts.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CHI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Contract Health Index — Raqib's 0–100 per-entity score measuring contract portfolio completeness and compliance. Feeds into LOHS.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LOHS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Legal Operations Health Score — companion score to GCS measuring operational legal hygiene across POA, IP, Licence, Litigation, and (with this module) Contracts.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Obligation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A specific duty or deadline arising from a contract clause — a payment, delivery, certification, or reporting requirement.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Auto-Renewal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A contract clause that extends the contract term automatically unless one party provides notice of cancellation within a defined window before expiry.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POA Register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The Raqib Powers of Attorney register — the authoritative record of who is authorised to sign on behalf of each entity.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Counterparty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The other party (individual, company, or government entity) to a contract.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Data Room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A secure collection of documents assembled for due diligence purposes, typically in an M&amp;A transaction.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PDPL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Personal Data Protection Law — UAE Federal Law No. 45 of 2021, and equivalent legislation in KSA. Requires documented data processing agreements.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DPA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Data Processing Agreement — a contract (or contract addendum) required by PDPL when one party processes personal data on behalf of another.</w:t>
            </w:r>
          </w:p>
        </w:tc>
      </w:tr>
    </w:tbl>
    <w:p>
      <w:pPr>
        <w:spacing w:before="120" w:after="0"/>
      </w:pPr>
    </w:p>
    <w:p>
      <w:pPr>
        <w:pBdr>
          <w:bottom w:val="single" w:color="2E86C1" w:sz="4" w:space="1"/>
        </w:pBdr>
        <w:spacing w:before="0" w:after="0"/>
      </w:pPr>
    </w:p>
    <w:p>
      <w:pPr>
        <w:spacing w:before="80" w:after="0"/>
      </w:pPr>
    </w:p>
    <w:p>
      <w:pPr>
        <w:jc w:val="center"/>
      </w:pPr>
      <w:r>
        <w:rPr>
          <w:rFonts w:ascii="Arial" w:cs="Arial" w:eastAsia="Arial" w:hAnsi="Arial"/>
          <w:color w:val="94A3B8"/>
          <w:spacing w:val="20"/>
          <w:sz w:val="16"/>
          <w:szCs w:val="16"/>
        </w:rPr>
        <w:t xml:space="preserve">RAQIB  ·  Compliance Intelligence Platform  ·  Contract Lifecycle Management Module  ·  v1.0  ·  March 2025</w:t>
      </w:r>
    </w:p>
    <w:p>
      <w:pPr>
        <w:jc w:val="center"/>
      </w:pPr>
      <w:r>
        <w:rPr>
          <w:rFonts w:ascii="Arial" w:cs="Arial" w:eastAsia="Arial" w:hAnsi="Arial"/>
          <w:i/>
          <w:iCs/>
          <w:color w:val="94A3B8"/>
          <w:sz w:val="16"/>
          <w:szCs w:val="16"/>
        </w:rPr>
        <w:t xml:space="preserve">Confidential  ·  For Product Leadership and Authorised Stakeholders Only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80" w:after="120"/>
      <w:outlineLvl w:val="0"/>
    </w:pPr>
    <w:rPr>
      <w:rFonts w:ascii="Arial" w:cs="Arial" w:eastAsia="Arial" w:hAnsi="Arial"/>
      <w:b/>
      <w:bCs/>
      <w:color w:val="0A1628"/>
      <w:sz w:val="34"/>
      <w:szCs w:val="34"/>
    </w:rPr>
  </w:style>
  <w:style w:type="paragraph" w:styleId="Heading2">
    <w:name w:val="Heading 2"/>
    <w:basedOn w:val="Normal"/>
    <w:next w:val="Normal"/>
    <w:pPr>
      <w:spacing w:before="200" w:after="10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2026-03-10T17:57:55.057Z</dcterms:created>
  <dcterms:modified xsi:type="dcterms:W3CDTF">2026-03-10T17:57:55.058Z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