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000"/>
        <w:jc w:val="center"/>
      </w:pPr>
      <w:r>
        <w:rPr>
          <w:rFonts w:ascii="Arial" w:cs="Arial" w:eastAsia="Arial" w:hAnsi="Arial"/>
          <w:b/>
          <w:bCs/>
          <w:color w:val="2E75B6"/>
          <w:sz w:val="48"/>
          <w:szCs w:val="48"/>
        </w:rPr>
        <w:t xml:space="preserve">SAP HANA Cloud Knowledge Graph</w:t>
      </w:r>
    </w:p>
    <w:p>
      <w:pPr>
        <w:spacing w:after="600"/>
        <w:jc w:val="center"/>
      </w:pPr>
      <w:r>
        <w:rPr>
          <w:rFonts w:ascii="Arial" w:cs="Arial" w:eastAsia="Arial" w:hAnsi="Arial"/>
          <w:i/>
          <w:iCs/>
          <w:sz w:val="28"/>
          <w:szCs w:val="28"/>
        </w:rPr>
        <w:t xml:space="preserve">RDF, SPARQL, and GraphRAG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Srinivasa Dasari (Srini)</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April 16, 2026</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TechEd 2025 DA261 - Exercise 3 Concepts</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Conceptual (KG not available in free tier)</w:t>
            </w:r>
          </w:p>
        </w:tc>
      </w:tr>
    </w:tbl>
    <w:p>
      <w:pPr>
        <w:spacing w:after="200"/>
      </w:pPr>
    </w:p>
    <w:p>
      <w:pPr>
        <w:pStyle w:val="Heading1"/>
      </w:pPr>
      <w:r>
        <w:t xml:space="preserve">1. What is a Knowledge Graph?</w:t>
      </w:r>
    </w:p>
    <w:p>
      <w:pPr>
        <w:spacing w:after="200"/>
      </w:pPr>
      <w:r>
        <w:t xml:space="preserve">A Knowledge Graph stores data as relationships (triples) rather than rows in tables. Each fact is represented as Subject-Predicate-Object.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Subject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Predicate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(Who/What)</w:t>
            </w:r>
          </w:p>
        </w:tc>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(Relationship)</w:t>
            </w:r>
          </w:p>
        </w:tc>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(Who/What)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Chase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has_complaint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COMP-10001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COMP-10001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about_product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Credit Card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Credit Card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is_type_of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Financial Product</w:t>
            </w:r>
          </w:p>
        </w:tc>
      </w:tr>
    </w:tbl>
    <w:p>
      <w:pPr>
        <w:spacing w:after="300"/>
      </w:pPr>
    </w:p>
    <w:p>
      <w:pPr>
        <w:pStyle w:val="Heading1"/>
      </w:pPr>
      <w:r>
        <w:t xml:space="preserve">2. Architecture: HANA Cloud Multi-Model</w:t>
      </w:r>
    </w:p>
    <w:p>
      <w:pPr>
        <w:spacing w:after="200"/>
      </w:pPr>
      <w:r>
        <w:t xml:space="preserve">SAP HANA Cloud combines relational, vector, and graph capabilities in one database - no separate systems needed.</w:t>
      </w:r>
    </w:p>
    <w:p>
      <w:pPr>
        <w:spacing w:after="100"/>
      </w:pPr>
      <w:r>
        <w:rPr>
          <w:b/>
          <w:bCs/>
          <w:sz w:val="22"/>
          <w:szCs w:val="22"/>
        </w:rPr>
        <w:t xml:space="preserve">SAP HANA Cloud - Unified Multi-Model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
        <w:gridCol w:w="2800"/>
        <w:gridCol w:w="280"/>
        <w:gridCol w:w="2800"/>
      </w:tblGrid>
      <w:tr>
        <w:tc>
          <w:tcPr>
            <w:tcW w:type="dxa" w:w="2800"/>
            <w:tcBorders>
              <w:top w:val="single" w:color="2E75B6" w:sz="8"/>
              <w:left w:val="single" w:color="2E75B6" w:sz="8"/>
              <w:bottom w:val="single" w:color="2E75B6" w:sz="8"/>
              <w:right w:val="single" w:color="2E75B6" w:sz="8"/>
            </w:tcBorders>
            <w:shd w:fill="DEEAF6" w:val="clear"/>
            <w:tcMar>
              <w:top w:type="dxa" w:w="100"/>
              <w:left w:type="dxa" w:w="80"/>
              <w:bottom w:type="dxa" w:w="100"/>
              <w:right w:type="dxa" w:w="80"/>
            </w:tcMar>
            <w:vAlign w:val="center"/>
          </w:tcPr>
          <w:p>
            <w:pPr>
              <w:jc w:val="center"/>
            </w:pPr>
            <w:r>
              <w:rPr>
                <w:rFonts w:ascii="Arial" w:cs="Arial" w:eastAsia="Arial" w:hAnsi="Arial"/>
                <w:b/>
                <w:bCs/>
                <w:sz w:val="18"/>
                <w:szCs w:val="18"/>
              </w:rPr>
              <w:t xml:space="preserve">Vector Engine
(Embeddings)</w:t>
            </w:r>
          </w:p>
        </w:tc>
        <w:tc>
          <w:tcPr>
            <w:tcW w:type="dxa" w:w="280"/>
            <w:tcBorders>
              <w:top w:val="none"/>
              <w:left w:val="none"/>
              <w:bottom w:val="none"/>
              <w:right w:val="none"/>
            </w:tcBorders>
          </w:tcPr>
          <w:p/>
        </w:tc>
        <w:tc>
          <w:tcPr>
            <w:tcW w:type="dxa" w:w="2800"/>
            <w:tcBorders>
              <w:top w:val="single" w:color="2E75B6" w:sz="8"/>
              <w:left w:val="single" w:color="2E75B6" w:sz="8"/>
              <w:bottom w:val="single" w:color="2E75B6" w:sz="8"/>
              <w:right w:val="single" w:color="2E75B6" w:sz="8"/>
            </w:tcBorders>
            <w:shd w:fill="D5E8D4" w:val="clear"/>
            <w:tcMar>
              <w:top w:type="dxa" w:w="100"/>
              <w:left w:type="dxa" w:w="80"/>
              <w:bottom w:type="dxa" w:w="100"/>
              <w:right w:type="dxa" w:w="80"/>
            </w:tcMar>
            <w:vAlign w:val="center"/>
          </w:tcPr>
          <w:p>
            <w:pPr>
              <w:jc w:val="center"/>
            </w:pPr>
            <w:r>
              <w:rPr>
                <w:rFonts w:ascii="Arial" w:cs="Arial" w:eastAsia="Arial" w:hAnsi="Arial"/>
                <w:b/>
                <w:bCs/>
                <w:sz w:val="18"/>
                <w:szCs w:val="18"/>
              </w:rPr>
              <w:t xml:space="preserve">Knowledge Graph
(RDF/SPARQL)</w:t>
            </w:r>
          </w:p>
        </w:tc>
        <w:tc>
          <w:tcPr>
            <w:tcW w:type="dxa" w:w="280"/>
            <w:tcBorders>
              <w:top w:val="none"/>
              <w:left w:val="none"/>
              <w:bottom w:val="none"/>
              <w:right w:val="none"/>
            </w:tcBorders>
          </w:tcPr>
          <w:p/>
        </w:tc>
        <w:tc>
          <w:tcPr>
            <w:tcW w:type="dxa" w:w="2800"/>
            <w:tcBorders>
              <w:top w:val="single" w:color="2E75B6" w:sz="8"/>
              <w:left w:val="single" w:color="2E75B6" w:sz="8"/>
              <w:bottom w:val="single" w:color="2E75B6" w:sz="8"/>
              <w:right w:val="single" w:color="2E75B6" w:sz="8"/>
            </w:tcBorders>
            <w:shd w:fill="FFE6CC" w:val="clear"/>
            <w:tcMar>
              <w:top w:type="dxa" w:w="100"/>
              <w:left w:type="dxa" w:w="80"/>
              <w:bottom w:type="dxa" w:w="100"/>
              <w:right w:type="dxa" w:w="80"/>
            </w:tcMar>
            <w:vAlign w:val="center"/>
          </w:tcPr>
          <w:p>
            <w:pPr>
              <w:jc w:val="center"/>
            </w:pPr>
            <w:r>
              <w:rPr>
                <w:rFonts w:ascii="Arial" w:cs="Arial" w:eastAsia="Arial" w:hAnsi="Arial"/>
                <w:b/>
                <w:bCs/>
                <w:sz w:val="18"/>
                <w:szCs w:val="18"/>
              </w:rPr>
              <w:t xml:space="preserve">Relational
(SQL/Tables)</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
        <w:gridCol w:w="2800"/>
        <w:gridCol w:w="280"/>
        <w:gridCol w:w="2800"/>
      </w:tblGrid>
      <w:tr>
        <w:tc>
          <w:tcPr>
            <w:tcW w:type="dxa" w:w="2800"/>
            <w:tcBorders>
              <w:top w:val="none"/>
              <w:left w:val="none"/>
              <w:bottom w:val="none"/>
              <w:right w:val="none"/>
            </w:tcBorders>
            <w:vAlign w:val="center"/>
          </w:tcPr>
          <w:p>
            <w:pPr>
              <w:jc w:val="center"/>
            </w:pPr>
            <w:r>
              <w:rPr>
                <w:rFonts w:ascii="Arial" w:cs="Arial" w:eastAsia="Arial" w:hAnsi="Arial"/>
                <w:sz w:val="20"/>
                <w:szCs w:val="20"/>
              </w:rPr>
              <w:t xml:space="preserve">↓</w:t>
            </w:r>
          </w:p>
        </w:tc>
        <w:tc>
          <w:tcPr>
            <w:tcW w:type="dxa" w:w="280"/>
            <w:tcBorders>
              <w:top w:val="none"/>
              <w:left w:val="none"/>
              <w:bottom w:val="none"/>
              <w:right w:val="none"/>
            </w:tcBorders>
          </w:tcPr>
          <w:p/>
        </w:tc>
        <w:tc>
          <w:tcPr>
            <w:tcW w:type="dxa" w:w="2800"/>
            <w:tcBorders>
              <w:top w:val="none"/>
              <w:left w:val="none"/>
              <w:bottom w:val="none"/>
              <w:right w:val="none"/>
            </w:tcBorders>
            <w:vAlign w:val="center"/>
          </w:tcPr>
          <w:p>
            <w:pPr>
              <w:jc w:val="center"/>
            </w:pPr>
            <w:r>
              <w:rPr>
                <w:rFonts w:ascii="Arial" w:cs="Arial" w:eastAsia="Arial" w:hAnsi="Arial"/>
                <w:sz w:val="20"/>
                <w:szCs w:val="20"/>
              </w:rPr>
              <w:t xml:space="preserve">↓</w:t>
            </w:r>
          </w:p>
        </w:tc>
        <w:tc>
          <w:tcPr>
            <w:tcW w:type="dxa" w:w="280"/>
            <w:tcBorders>
              <w:top w:val="none"/>
              <w:left w:val="none"/>
              <w:bottom w:val="none"/>
              <w:right w:val="none"/>
            </w:tcBorders>
          </w:tcPr>
          <w:p/>
        </w:tc>
        <w:tc>
          <w:tcPr>
            <w:tcW w:type="dxa" w:w="2800"/>
            <w:tcBorders>
              <w:top w:val="none"/>
              <w:left w:val="none"/>
              <w:bottom w:val="none"/>
              <w:right w:val="none"/>
            </w:tcBorders>
            <w:vAlign w:val="center"/>
          </w:tcPr>
          <w:p>
            <w:pPr>
              <w:jc w:val="center"/>
            </w:pPr>
            <w:r>
              <w:rPr>
                <w:rFonts w:ascii="Arial" w:cs="Arial" w:eastAsia="Arial" w:hAnsi="Arial"/>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AE8FC" w:val="clear"/>
            <w:tcMar>
              <w:top w:type="dxa" w:w="100"/>
              <w:left w:type="dxa" w:w="80"/>
              <w:bottom w:type="dxa" w:w="100"/>
              <w:right w:type="dxa" w:w="80"/>
            </w:tcMar>
            <w:vAlign w:val="center"/>
          </w:tcPr>
          <w:p>
            <w:pPr>
              <w:jc w:val="center"/>
            </w:pPr>
            <w:r>
              <w:rPr>
                <w:rFonts w:ascii="Arial" w:cs="Arial" w:eastAsia="Arial" w:hAnsi="Arial"/>
                <w:b/>
                <w:bCs/>
                <w:sz w:val="18"/>
                <w:szCs w:val="18"/>
              </w:rPr>
              <w:t xml:space="preserve">Unified Query Layer (SQL + SPARQL + Vector Functions)</w:t>
            </w:r>
          </w:p>
        </w:tc>
      </w:tr>
    </w:tbl>
    <w:p>
      <w:pPr>
        <w:spacing w:after="50"/>
      </w:pPr>
    </w:p>
    <w:p>
      <w:pPr>
        <w:jc w:val="center"/>
      </w:pPr>
      <w:r>
        <w:rPr>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tc>
        <w:tc>
          <w:tcPr>
            <w:tcW w:type="dxa" w:w="3120"/>
            <w:tcBorders>
              <w:top w:val="single" w:color="2E75B6" w:sz="8"/>
              <w:left w:val="single" w:color="2E75B6" w:sz="8"/>
              <w:bottom w:val="single" w:color="2E75B6" w:sz="8"/>
              <w:right w:val="single" w:color="2E75B6" w:sz="8"/>
            </w:tcBorders>
            <w:shd w:fill="F8CECC" w:val="clear"/>
            <w:tcMar>
              <w:top w:type="dxa" w:w="100"/>
              <w:left w:type="dxa" w:w="80"/>
              <w:bottom w:type="dxa" w:w="100"/>
              <w:right w:type="dxa" w:w="80"/>
            </w:tcMar>
            <w:vAlign w:val="center"/>
          </w:tcPr>
          <w:p>
            <w:pPr>
              <w:jc w:val="center"/>
            </w:pPr>
            <w:r>
              <w:rPr>
                <w:rFonts w:ascii="Arial" w:cs="Arial" w:eastAsia="Arial" w:hAnsi="Arial"/>
                <w:b/>
                <w:bCs/>
                <w:sz w:val="18"/>
                <w:szCs w:val="18"/>
              </w:rPr>
              <w:t xml:space="preserve">Joule / LLM
(Agentic AI)</w:t>
            </w:r>
          </w:p>
        </w:tc>
        <w:tc>
          <w:tcPr>
            <w:tcW w:type="dxa" w:w="3120"/>
            <w:tcBorders>
              <w:top w:val="none"/>
              <w:left w:val="none"/>
              <w:bottom w:val="none"/>
              <w:right w:val="none"/>
            </w:tcBorders>
          </w:tcPr>
          <w:p/>
        </w:tc>
      </w:tr>
    </w:tbl>
    <w:p>
      <w:pPr>
        <w:spacing w:after="300"/>
      </w:pPr>
    </w:p>
    <w:p>
      <w:pPr>
        <w:spacing w:after="200"/>
      </w:pPr>
      <w:r>
        <w:rPr>
          <w:b/>
          <w:bCs/>
        </w:rPr>
        <w:t xml:space="preserve">Key Insight: </w:t>
      </w:r>
      <w:r>
        <w:t xml:space="preserve">A single SQL query can combine relational data, SPARQL reasoning, and vector similarity - all executed in one in-memory engine.</w:t>
      </w:r>
    </w:p>
    <w:p>
      <w:r>
        <w:br w:type="page"/>
      </w:r>
    </w:p>
    <w:p>
      <w:pPr>
        <w:pStyle w:val="Heading1"/>
      </w:pPr>
      <w:r>
        <w:t xml:space="preserve">3. RDF and SPARQL Fundamentals</w:t>
      </w:r>
    </w:p>
    <w:p>
      <w:pPr>
        <w:pStyle w:val="Heading2"/>
      </w:pPr>
      <w:r>
        <w:t xml:space="preserve">3.1 RDF Turtle Syntax</w:t>
      </w:r>
    </w:p>
    <w:p>
      <w:pPr>
        <w:spacing w:after="100"/>
      </w:pPr>
      <w:r>
        <w:t xml:space="preserve">RDF triples are written in Turtle format - a compact, readable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nsolas" w:cs="Consolas" w:eastAsia="Consolas" w:hAnsi="Consolas"/>
                <w:sz w:val="18"/>
                <w:szCs w:val="18"/>
              </w:rPr>
              <w:t xml:space="preserve">@prefix ex: &lt;http://example.org/complaints/&gt; .
@prefix rdf: &lt;http://www.w3.org/1999/02/22-rdf-syntax-ns#&gt; .
ex:Chase rdf:type ex:Company .
ex:COMP-10001 rdf:type ex:Complaint .
ex:Chase ex:has_complaint ex:COMP-10001 .
ex:COMP-10001 ex:about_product ex:CreditCard .
ex:COMP-10001 ex:has_response "Closed with monetary relief" .</w:t>
            </w:r>
          </w:p>
        </w:tc>
      </w:tr>
    </w:tbl>
    <w:p>
      <w:pPr>
        <w:spacing w:after="200"/>
      </w:pPr>
    </w:p>
    <w:p>
      <w:pPr>
        <w:pStyle w:val="Heading2"/>
      </w:pPr>
      <w:r>
        <w:t xml:space="preserve">3.2 SPARQL Query Examples</w:t>
      </w:r>
    </w:p>
    <w:p>
      <w:pPr>
        <w:spacing w:after="100"/>
      </w:pPr>
      <w:r>
        <w:rPr>
          <w:b/>
          <w:bCs/>
        </w:rPr>
        <w:t xml:space="preserve">Find all complaints for a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nsolas" w:cs="Consolas" w:eastAsia="Consolas" w:hAnsi="Consolas"/>
                <w:sz w:val="18"/>
                <w:szCs w:val="18"/>
              </w:rPr>
              <w:t xml:space="preserve">SELECT ?complaint ?product ?issue
WHERE {
    ex:Chase ex:has_complaint ?complaint .
    ?complaint ex:about_product ?product .
    ?complaint ex:has_issue ?issue .
}</w:t>
            </w:r>
          </w:p>
        </w:tc>
      </w:tr>
    </w:tbl>
    <w:p>
      <w:pPr>
        <w:spacing w:after="150"/>
      </w:pPr>
    </w:p>
    <w:p>
      <w:pPr>
        <w:spacing w:after="100"/>
      </w:pPr>
      <w:r>
        <w:rPr>
          <w:b/>
          <w:bCs/>
        </w:rPr>
        <w:t xml:space="preserve">Count complaints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nsolas" w:cs="Consolas" w:eastAsia="Consolas" w:hAnsi="Consolas"/>
                <w:sz w:val="18"/>
                <w:szCs w:val="18"/>
              </w:rPr>
              <w:t xml:space="preserve">SELECT ?product (COUNT(?complaint) AS ?count)
WHERE {
    ?complaint ex:about_product ?product .
}
GROUP BY ?product
ORDER BY DESC(?count)</w:t>
            </w:r>
          </w:p>
        </w:tc>
      </w:tr>
    </w:tbl>
    <w:p>
      <w:pPr>
        <w:spacing w:after="200"/>
      </w:pPr>
    </w:p>
    <w:p>
      <w:pPr>
        <w:pStyle w:val="Heading2"/>
      </w:pPr>
      <w:r>
        <w:t xml:space="preserve">3.3 HANA Cloud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onsolas" w:cs="Consolas" w:eastAsia="Consolas" w:hAnsi="Consolas"/>
                <w:sz w:val="18"/>
                <w:szCs w:val="18"/>
              </w:rPr>
              <w:t xml:space="preserve">-- Insert triples
CALL SPARQL_EXECUTE('
    INSERT DATA {
        GRAPH &lt;complaints_kg&gt; {
            &lt;http://example.org/Chase&gt; a &lt;Company&gt; .
            &lt;http://example.org/COMP-10001&gt; a &lt;Complaint&gt; .
            &lt;http://example.org/Chase&gt; &lt;has_complaint&gt; &lt;http://example.org/COMP-10001&gt; .
        }
    }
', '', ?, ?);
-- Query the graph
SELECT * FROM SPARQL_TABLE('
    SELECT ?company ?complaint
    FROM &lt;complaints_kg&gt;
    WHERE { ?company &lt;has_complaint&gt; ?complaint }
');</w:t>
            </w:r>
          </w:p>
        </w:tc>
      </w:tr>
    </w:tbl>
    <w:p>
      <w:pPr>
        <w:spacing w:after="200"/>
      </w:pPr>
    </w:p>
    <w:p>
      <w:r>
        <w:br w:type="page"/>
      </w:r>
    </w:p>
    <w:p>
      <w:pPr>
        <w:pStyle w:val="Heading1"/>
      </w:pPr>
      <w:r>
        <w:t xml:space="preserve">4. Why Knowledge Graphs Matter for AI</w:t>
      </w:r>
    </w:p>
    <w:p>
      <w:pPr>
        <w:pStyle w:val="Heading2"/>
      </w:pPr>
      <w:r>
        <w:t xml:space="preserve">4.1 VectorRAG vs GraphRAG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Approach</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Works</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VectorRAG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Searches for semantically similar text chunks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Can hallucinate, no reasoning over relationships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GraphRAG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Traverses structured relationships in knowledge graph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Requires structured data upfront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HybridRAG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Combines vector similarity + graph reasoning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Best of both - semantic + factual</w:t>
            </w:r>
          </w:p>
        </w:tc>
      </w:tr>
    </w:tbl>
    <w:p>
      <w:pPr>
        <w:spacing w:after="200"/>
      </w:pPr>
    </w:p>
    <w:p>
      <w:pPr>
        <w:pStyle w:val="Heading2"/>
      </w:pPr>
      <w:r>
        <w:t xml:space="preserve">4.2 The Problem with Vector Search Alone</w:t>
      </w:r>
    </w:p>
    <w:p>
      <w:pPr>
        <w:spacing w:after="100"/>
      </w:pPr>
      <w:r>
        <w:rPr>
          <w:b/>
          <w:bCs/>
        </w:rPr>
        <w:t xml:space="preserve">User Query: </w:t>
      </w:r>
      <w:r>
        <w:t xml:space="preserve">"Which suppliers are ISO certified AND have no delivery delays?"</w:t>
      </w:r>
    </w:p>
    <w:p>
      <w:pPr>
        <w:pStyle w:val="ListParagraph"/>
        <w:numPr>
          <w:ilvl w:val="0"/>
          <w:numId w:val="2"/>
        </w:numPr>
        <w:spacing w:after="100"/>
      </w:pPr>
      <w:r>
        <w:rPr>
          <w:b/>
          <w:bCs/>
        </w:rPr>
        <w:t xml:space="preserve">VectorRAG: </w:t>
      </w:r>
      <w:r>
        <w:t xml:space="preserve">Finds documents MENTIONING these terms, but cannot REASON about them</w:t>
      </w:r>
    </w:p>
    <w:p>
      <w:pPr>
        <w:pStyle w:val="ListParagraph"/>
        <w:numPr>
          <w:ilvl w:val="0"/>
          <w:numId w:val="2"/>
        </w:numPr>
        <w:spacing w:after="200"/>
      </w:pPr>
      <w:r>
        <w:rPr>
          <w:b/>
          <w:bCs/>
        </w:rPr>
        <w:t xml:space="preserve">GraphRAG: </w:t>
      </w:r>
      <w:r>
        <w:t xml:space="preserve">Traverses: Supplier → has_certification → ISO9001, Supplier → has_delay_flag → false, returns EXACT answers</w:t>
      </w:r>
    </w:p>
    <w:p>
      <w:pPr>
        <w:pStyle w:val="Heading2"/>
      </w:pPr>
      <w:r>
        <w:t xml:space="preserve">4.3 Enterprise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Knowledge Graph Helps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Supplier Discovery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Find suppliers matching multiple criteria (certified, located near, no delays) - requires reasoning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Compliance/Lineage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Trace data flows from customer record through all systems - graph traversal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Fraud Detection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Find unusual patterns in money transfers - hidden connections revealed by graph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Master Data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What products does vendor supply to which plants? - relationships, not JOINs</w:t>
            </w:r>
          </w:p>
        </w:tc>
      </w:tr>
    </w:tbl>
    <w:p>
      <w:pPr>
        <w:spacing w:after="200"/>
      </w:pPr>
    </w:p>
    <w:p>
      <w:r>
        <w:br w:type="page"/>
      </w:r>
    </w:p>
    <w:p>
      <w:pPr>
        <w:pStyle w:val="Heading1"/>
      </w:pPr>
      <w:r>
        <w:t xml:space="preserve">5. Joule + Knowledge Graph Integration</w:t>
      </w:r>
    </w:p>
    <w:p>
      <w:pPr>
        <w:pStyle w:val="Heading2"/>
      </w:pPr>
      <w:r>
        <w:t xml:space="preserve">5.1 Without Knowledge Graph</w:t>
      </w:r>
    </w:p>
    <w:p>
      <w:pPr>
        <w:spacing w:after="100"/>
      </w:pPr>
      <w:r>
        <w:rPr>
          <w:b/>
          <w:bCs/>
        </w:rPr>
        <w:t xml:space="preserve">User asks Joule: </w:t>
      </w:r>
      <w:r>
        <w:t xml:space="preserve">"Can we use Supplier ABC for the new project?"</w:t>
      </w:r>
    </w:p>
    <w:p>
      <w:pPr>
        <w:spacing w:after="200"/>
      </w:pPr>
      <w:r>
        <w:rPr>
          <w:b/>
          <w:bCs/>
        </w:rPr>
        <w:t xml:space="preserve">Result: </w:t>
      </w:r>
      <w:r>
        <w:t xml:space="preserve">Joule searches documents, might hallucinate or give incomplete answer</w:t>
      </w:r>
    </w:p>
    <w:p>
      <w:pPr>
        <w:pStyle w:val="Heading2"/>
      </w:pPr>
      <w:r>
        <w:t xml:space="preserve">5.2 With Knowledge Graph</w:t>
      </w:r>
    </w:p>
    <w:p>
      <w:pPr>
        <w:spacing w:after="100"/>
      </w:pPr>
      <w:r>
        <w:t xml:space="preserve">Joule queries the graph and returns grounded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Triple Query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ABC → has_certification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ISO9001, ISO14001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AA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ABC → located_in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Germany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AA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ABC → has_open_dispute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false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AA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ABC → average_delivery_time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AA00"/>
                <w:sz w:val="20"/>
                <w:szCs w:val="20"/>
              </w:rPr>
              <w:t xml:space="preserve">✓</w:t>
            </w:r>
          </w:p>
        </w:tc>
      </w:tr>
    </w:tbl>
    <w:p>
      <w:pPr>
        <w:spacing w:after="100"/>
      </w:pPr>
    </w:p>
    <w:p>
      <w:pPr>
        <w:spacing w:after="200"/>
      </w:pPr>
      <w:r>
        <w:rPr>
          <w:b/>
          <w:bCs/>
        </w:rPr>
        <w:t xml:space="preserve">Joule Response: </w:t>
      </w:r>
      <w:r>
        <w:rPr>
          <w:i/>
          <w:iCs/>
        </w:rPr>
        <w:t xml:space="preserve">"Yes, Supplier ABC is certified (ISO9001, ISO14001), located in Germany, has no open disputes, and delivers in 3 days on average."</w:t>
      </w:r>
    </w:p>
    <w:p>
      <w:pPr>
        <w:pStyle w:val="Heading1"/>
      </w:pPr>
      <w:r>
        <w:t xml:space="preserve">6. Knowledge Graph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HANA Cloud Free Tier (1 vCPU, 16GB)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Requires 3+ vCPU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HANA Cloud Trial (Basic)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Limited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BTP Trial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Same limitation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HANA Cloud Paid (3+ vCPU, 45GB)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AA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Enable Triple Store</w:t>
            </w:r>
          </w:p>
        </w:tc>
      </w:tr>
    </w:tbl>
    <w:p>
      <w:pPr>
        <w:spacing w:after="200"/>
      </w:pPr>
    </w:p>
    <w:p>
      <w:pPr>
        <w:pStyle w:val="Heading2"/>
      </w:pPr>
      <w:r>
        <w:t xml:space="preserve">6.1 Requirements to Enable</w:t>
      </w:r>
    </w:p>
    <w:p>
      <w:pPr>
        <w:pStyle w:val="ListParagraph"/>
        <w:numPr>
          <w:ilvl w:val="0"/>
          <w:numId w:val="3"/>
        </w:numPr>
      </w:pPr>
      <w:r>
        <w:t xml:space="preserve">HANA Cloud version 2025.2 or above</w:t>
      </w:r>
    </w:p>
    <w:p>
      <w:pPr>
        <w:pStyle w:val="ListParagraph"/>
        <w:numPr>
          <w:ilvl w:val="0"/>
          <w:numId w:val="3"/>
        </w:numPr>
      </w:pPr>
      <w:r>
        <w:t xml:space="preserve">Instance with 3+ vCPUs, 45GB memory</w:t>
      </w:r>
    </w:p>
    <w:p>
      <w:pPr>
        <w:pStyle w:val="ListParagraph"/>
        <w:numPr>
          <w:ilvl w:val="0"/>
          <w:numId w:val="3"/>
        </w:numPr>
      </w:pPr>
      <w:r>
        <w:t xml:space="preserve">HANA Cloud Central → Manage Configuration → Advanced Settings → Enable Triple Store</w:t>
      </w:r>
    </w:p>
    <w:p>
      <w:pPr>
        <w:spacing w:after="200"/>
      </w:pPr>
    </w:p>
    <w:p>
      <w:r>
        <w:br w:type="page"/>
      </w:r>
    </w:p>
    <w:p>
      <w:pPr>
        <w:pStyle w:val="Heading1"/>
      </w:pPr>
      <w:r>
        <w:t xml:space="preserve">7. Interview Talking Points</w:t>
      </w:r>
    </w:p>
    <w:p>
      <w:pPr>
        <w:pStyle w:val="Heading2"/>
      </w:pPr>
      <w:r>
        <w:t xml:space="preserve">Elevator Pitch (30 seconds)</w:t>
      </w:r>
    </w:p>
    <w:p>
      <w:pPr>
        <w:spacing w:after="200"/>
      </w:pPr>
      <w:r>
        <w:rPr>
          <w:i/>
          <w:iCs/>
        </w:rPr>
        <w:t xml:space="preserve">"SAP HANA Cloud's Knowledge Graph engine uses RDF triples and SPARQL for semantic data representation. The key advantage over vector search alone is structured reasoning - instead of finding similar text, you traverse actual relationships. For example, 'find suppliers that are ISO certified AND have no delivery delays' requires reasoning over multiple facts, which vectors cannot do. Combined with HANA's vector engine, you get HybridRAG - semantic similarity plus factual grounding. This is critical for enterprise AI where hallucinations are unacceptable."</w:t>
      </w:r>
    </w:p>
    <w:p>
      <w:pPr>
        <w:pStyle w:val="Heading2"/>
      </w:pPr>
      <w:r>
        <w:t xml:space="preserve">Technical Q&amp;A</w:t>
      </w:r>
    </w:p>
    <w:p>
      <w:pPr>
        <w:spacing w:after="100"/>
      </w:pPr>
      <w:r>
        <w:rPr>
          <w:b/>
          <w:bCs/>
        </w:rPr>
        <w:t xml:space="preserve">Q: What is the difference between VectorRAG and GraphRAG?</w:t>
      </w:r>
    </w:p>
    <w:p>
      <w:pPr>
        <w:spacing w:after="150"/>
      </w:pPr>
      <w:r>
        <w:t xml:space="preserve">A: VectorRAG finds semantically similar content - good for 'documents like this.' GraphRAG traverses structured relationships - good for 'facts about this entity.' Vectors can hallucinate; graphs return verified facts. Best practice is HybridRAG combining both.</w:t>
      </w:r>
    </w:p>
    <w:p>
      <w:pPr>
        <w:spacing w:after="100"/>
      </w:pPr>
      <w:r>
        <w:rPr>
          <w:b/>
          <w:bCs/>
        </w:rPr>
        <w:t xml:space="preserve">Q: Why use RDF instead of property graphs?</w:t>
      </w:r>
    </w:p>
    <w:p>
      <w:pPr>
        <w:spacing w:after="150"/>
      </w:pPr>
      <w:r>
        <w:t xml:space="preserve">A: RDF uses URIs for global identification, enabling Linked Open Data integration. Property graphs are better for local traversals. HANA Cloud supports both - use RDF for semantic interoperability, property graphs for performance-critical path queries.</w:t>
      </w:r>
    </w:p>
    <w:p>
      <w:pPr>
        <w:spacing w:after="100"/>
      </w:pPr>
      <w:r>
        <w:rPr>
          <w:b/>
          <w:bCs/>
        </w:rPr>
        <w:t xml:space="preserve">Q: How does Knowledge Graph help Joule?</w:t>
      </w:r>
    </w:p>
    <w:p>
      <w:pPr>
        <w:spacing w:after="200"/>
      </w:pPr>
      <w:r>
        <w:t xml:space="preserve">A: Joule can query the knowledge graph for verified facts before responding. Instead of generating answers from training data, it retrieves actual business relationships - supplier certifications, customer hierarchies, product lineages. This grounds responses in truth.</w:t>
      </w:r>
    </w:p>
    <w:p>
      <w:pPr>
        <w:pStyle w:val="Heading1"/>
      </w:pPr>
      <w:r>
        <w:t xml:space="preserve">8. Key Takeaways</w:t>
      </w:r>
    </w:p>
    <w:p>
      <w:pPr>
        <w:pStyle w:val="ListParagraph"/>
        <w:numPr>
          <w:ilvl w:val="0"/>
          <w:numId w:val="2"/>
        </w:numPr>
      </w:pPr>
      <w:r>
        <w:rPr>
          <w:b/>
          <w:bCs/>
        </w:rPr>
        <w:t xml:space="preserve">Triple = Subject + Predicate + Object: </w:t>
      </w:r>
      <w:r>
        <w:t xml:space="preserve">The atomic unit of knowledge graph data</w:t>
      </w:r>
    </w:p>
    <w:p>
      <w:pPr>
        <w:pStyle w:val="ListParagraph"/>
        <w:numPr>
          <w:ilvl w:val="0"/>
          <w:numId w:val="2"/>
        </w:numPr>
      </w:pPr>
      <w:r>
        <w:rPr>
          <w:b/>
          <w:bCs/>
        </w:rPr>
        <w:t xml:space="preserve">SPARQL = SQL for graphs: </w:t>
      </w:r>
      <w:r>
        <w:t xml:space="preserve">Query language for traversing relationships</w:t>
      </w:r>
    </w:p>
    <w:p>
      <w:pPr>
        <w:pStyle w:val="ListParagraph"/>
        <w:numPr>
          <w:ilvl w:val="0"/>
          <w:numId w:val="2"/>
        </w:numPr>
      </w:pPr>
      <w:r>
        <w:rPr>
          <w:b/>
          <w:bCs/>
        </w:rPr>
        <w:t xml:space="preserve">VectorRAG finds similar, GraphRAG finds true: </w:t>
      </w:r>
      <w:r>
        <w:t xml:space="preserve">Both needed for enterprise AI</w:t>
      </w:r>
    </w:p>
    <w:p>
      <w:pPr>
        <w:pStyle w:val="ListParagraph"/>
        <w:numPr>
          <w:ilvl w:val="0"/>
          <w:numId w:val="2"/>
        </w:numPr>
      </w:pPr>
      <w:r>
        <w:rPr>
          <w:b/>
          <w:bCs/>
        </w:rPr>
        <w:t xml:space="preserve">HANA Cloud unifies all models: </w:t>
      </w:r>
      <w:r>
        <w:t xml:space="preserve">SQL + SPARQL + Vector in one query</w:t>
      </w:r>
    </w:p>
    <w:p>
      <w:pPr>
        <w:pStyle w:val="ListParagraph"/>
        <w:numPr>
          <w:ilvl w:val="0"/>
          <w:numId w:val="2"/>
        </w:numPr>
        <w:spacing w:after="200"/>
      </w:pPr>
      <w:r>
        <w:rPr>
          <w:b/>
          <w:bCs/>
        </w:rPr>
        <w:t xml:space="preserve">Knowledge Graph requires paid tier: </w:t>
      </w:r>
      <w:r>
        <w:t xml:space="preserve">3+ vCPU, 45GB, Triple Store enabled</w:t>
      </w:r>
    </w:p>
    <w:p>
      <w:pPr>
        <w:pStyle w:val="Heading1"/>
      </w:pPr>
      <w:r>
        <w:t xml:space="preserve">9.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5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SAP HANA Cloud KG Guide</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help.sap.com/docs/hana-cloud-database/knowledge-graph-guide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Discovery Center Mission</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discovery-center.cloud.sap/missiondetail/4568</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LangChain HANA RDF Integration</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docs.langchain.com/integrations/graphs/sap_hana_rdf_graph</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Enable Triple Store</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help.sap.com/docs/hana-cloud-database/enable-triple-store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Early Adopter Program</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community.sap.com (search: Knowledge Graph Early Adopter)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2026-04-16T04:11:30.649Z</dcterms:created>
  <dcterms:modified xsi:type="dcterms:W3CDTF">2026-04-16T04:11:30.650Z</dcterms:modified>
</cp:coreProperties>
</file>

<file path=docProps/custom.xml><?xml version="1.0" encoding="utf-8"?>
<Properties xmlns="http://schemas.openxmlformats.org/officeDocument/2006/custom-properties" xmlns:vt="http://schemas.openxmlformats.org/officeDocument/2006/docPropsVTypes"/>
</file>