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rFonts w:ascii="Calibri" w:hAnsi="Calibri"/>
          <w:b/>
          <w:color w:val="1E88E5"/>
          <w:sz w:val="26"/>
        </w:rPr>
        <w:t>WHITE PAPER</w:t>
      </w:r>
    </w:p>
    <w:p>
      <w:pPr>
        <w:jc w:val="center"/>
      </w:pPr>
      <w:r>
        <w:rPr>
          <w:rFonts w:ascii="Calibri" w:hAnsi="Calibri"/>
          <w:b/>
          <w:color w:val="0047AB"/>
          <w:sz w:val="52"/>
        </w:rPr>
        <w:t>Network Tokenisation in Modern Payment Ecosystems</w:t>
      </w:r>
    </w:p>
    <w:p>
      <w:pPr>
        <w:jc w:val="center"/>
      </w:pPr>
      <w:r>
        <w:rPr>
          <w:rFonts w:ascii="Calibri" w:hAnsi="Calibri"/>
          <w:color w:val="555555"/>
          <w:sz w:val="26"/>
        </w:rPr>
        <w:t>A Technical and Business Perspective with CyberSource Integration Reference Implementation</w:t>
      </w:r>
    </w:p>
    <w:p>
      <w:pPr>
        <w:jc w:val="center"/>
      </w:pPr>
      <w:r>
        <w:rPr>
          <w:rFonts w:ascii="Calibri" w:hAnsi="Calibri"/>
          <w:sz w:val="24"/>
        </w:rPr>
        <w:br/>
        <w:br/>
        <w:t>June 2026</w:t>
      </w:r>
    </w:p>
    <w:p>
      <w:r>
        <w:br w:type="page"/>
      </w:r>
    </w:p>
    <w:p>
      <w:pPr>
        <w:pStyle w:val="Heading1"/>
      </w:pPr>
      <w:r>
        <w:rPr>
          <w:b/>
          <w:color w:val="0047AB"/>
          <w:sz w:val="36"/>
        </w:rPr>
        <w:t>Executive Summary</w:t>
      </w:r>
    </w:p>
    <w:p>
      <w:r>
        <w:rPr>
          <w:rFonts w:ascii="Calibri" w:hAnsi="Calibri"/>
          <w:sz w:val="22"/>
        </w:rPr>
        <w:t>Payment card fraud continues to be one of the largest financial crime vectors globally. Network Tokenisation -- the replacement of a customer's primary account number (PAN) with a unique, domain-restricted token issued by the card network -- has emerged as the industry's most robust technical countermeasure. This white paper explains what network tokens are, how the broader ecosystem operates, and how organisations can implement the capability using the CyberSource network-token reference architecture described in this document.</w:t>
      </w:r>
    </w:p>
    <w:p>
      <w:r>
        <w:rPr>
          <w:rFonts w:ascii="Calibri" w:hAnsi="Calibri"/>
          <w:sz w:val="22"/>
        </w:rPr>
        <w:t>The paper guides technical architects, product managers, and senior stakeholders through the definition, capabilities, key participants, benefit analysis, ecosystem components, and considerations for risk, reusability, and the future roadmap.</w:t>
      </w:r>
    </w:p>
    <w:p>
      <w:r>
        <w:br w:type="page"/>
      </w:r>
    </w:p>
    <w:p>
      <w:pPr>
        <w:pStyle w:val="Heading1"/>
      </w:pPr>
      <w:r>
        <w:rPr>
          <w:b/>
          <w:color w:val="0047AB"/>
          <w:sz w:val="36"/>
        </w:rPr>
        <w:t>Table of Contents</w:t>
      </w:r>
    </w:p>
    <w:p>
      <w:r>
        <w:rPr>
          <w:rFonts w:ascii="Calibri" w:hAnsi="Calibri"/>
          <w:sz w:val="22"/>
        </w:rPr>
        <w:t xml:space="preserve">  1   Definition of Network Token</w:t>
      </w:r>
    </w:p>
    <w:p>
      <w:r>
        <w:rPr>
          <w:rFonts w:ascii="Calibri" w:hAnsi="Calibri"/>
          <w:sz w:val="22"/>
        </w:rPr>
        <w:t xml:space="preserve">  2   Capabilities</w:t>
      </w:r>
    </w:p>
    <w:p>
      <w:r>
        <w:rPr>
          <w:rFonts w:ascii="Calibri" w:hAnsi="Calibri"/>
          <w:sz w:val="22"/>
        </w:rPr>
        <w:t xml:space="preserve">  3   Key Participants</w:t>
      </w:r>
    </w:p>
    <w:p>
      <w:r>
        <w:rPr>
          <w:rFonts w:ascii="Calibri" w:hAnsi="Calibri"/>
          <w:sz w:val="22"/>
        </w:rPr>
        <w:t xml:space="preserve">  4   Benefits -- Customers, Merchants and Acquirers</w:t>
      </w:r>
    </w:p>
    <w:p>
      <w:r>
        <w:rPr>
          <w:rFonts w:ascii="Calibri" w:hAnsi="Calibri"/>
          <w:sz w:val="22"/>
        </w:rPr>
        <w:t xml:space="preserve">  5   The Network Token Ecosystem Explained</w:t>
      </w:r>
    </w:p>
    <w:p>
      <w:r>
        <w:rPr>
          <w:rFonts w:ascii="Calibri" w:hAnsi="Calibri"/>
          <w:sz w:val="22"/>
        </w:rPr>
        <w:t xml:space="preserve">  6   Components of the Reference Implementation</w:t>
      </w:r>
    </w:p>
    <w:p>
      <w:r>
        <w:rPr>
          <w:rFonts w:ascii="Calibri" w:hAnsi="Calibri"/>
          <w:sz w:val="22"/>
        </w:rPr>
        <w:t xml:space="preserve">  7   Risks and Challenges</w:t>
      </w:r>
    </w:p>
    <w:p>
      <w:r>
        <w:rPr>
          <w:rFonts w:ascii="Calibri" w:hAnsi="Calibri"/>
          <w:sz w:val="22"/>
        </w:rPr>
        <w:t xml:space="preserve">  8   Reusability and the Future</w:t>
      </w:r>
    </w:p>
    <w:p>
      <w:r>
        <w:rPr>
          <w:rFonts w:ascii="Calibri" w:hAnsi="Calibri"/>
          <w:sz w:val="22"/>
        </w:rPr>
        <w:t xml:space="preserve">  9   Conclusion</w:t>
      </w:r>
    </w:p>
    <w:p>
      <w:r>
        <w:br w:type="page"/>
      </w:r>
    </w:p>
    <w:p>
      <w:pPr>
        <w:pStyle w:val="Heading1"/>
      </w:pPr>
      <w:r>
        <w:rPr>
          <w:b/>
          <w:color w:val="0047AB"/>
          <w:sz w:val="36"/>
        </w:rPr>
        <w:t>1.  Definition of Network Token</w:t>
      </w:r>
    </w:p>
    <w:p>
      <w:r>
        <w:rPr>
          <w:rFonts w:ascii="Calibri" w:hAnsi="Calibri"/>
          <w:sz w:val="22"/>
        </w:rPr>
        <w:t>A Network Token is a surrogate value -- typically 16 digits in the same BIN range as the original card number -- generated and managed by the card network (Visa, Mastercard, American Express, etc.) on behalf of a cardholder. Unlike vault tokens issued by a merchant or payment service provider, network tokens carry full network intelligence and are accompanied by a dynamic cryptogram that is unique to every individual transaction.</w:t>
      </w:r>
    </w:p>
    <w:p>
      <w:pPr>
        <w:pStyle w:val="Heading2"/>
      </w:pPr>
      <w:r>
        <w:rPr>
          <w:b/>
          <w:color w:val="0047AB"/>
          <w:sz w:val="28"/>
        </w:rPr>
        <w:t>1.1  How It Differs from Traditional Tokenisation</w:t>
      </w:r>
    </w:p>
    <w:tbl>
      <w:tblPr>
        <w:tblStyle w:val="LightShading-Accent1"/>
        <w:tblW w:type="auto" w:w="0"/>
        <w:tblLook w:firstColumn="1" w:firstRow="1" w:lastColumn="0" w:lastRow="0" w:noHBand="0" w:noVBand="1" w:val="04A0"/>
      </w:tblPr>
      <w:tblGrid>
        <w:gridCol w:w="2280"/>
        <w:gridCol w:w="2280"/>
        <w:gridCol w:w="2280"/>
        <w:gridCol w:w="2280"/>
      </w:tblGrid>
      <w:tr>
        <w:tc>
          <w:tcPr>
            <w:tcW w:type="dxa" w:w="2280"/>
          </w:tcPr>
          <w:p>
            <w:r>
              <w:rPr>
                <w:b/>
                <w:sz w:val="20"/>
              </w:rPr>
              <w:t>Attribute</w:t>
            </w:r>
          </w:p>
        </w:tc>
        <w:tc>
          <w:tcPr>
            <w:tcW w:type="dxa" w:w="2280"/>
          </w:tcPr>
          <w:p>
            <w:r>
              <w:rPr>
                <w:b/>
                <w:sz w:val="20"/>
              </w:rPr>
              <w:t>PAN (Card Number)</w:t>
            </w:r>
          </w:p>
        </w:tc>
        <w:tc>
          <w:tcPr>
            <w:tcW w:type="dxa" w:w="2280"/>
          </w:tcPr>
          <w:p>
            <w:r>
              <w:rPr>
                <w:b/>
                <w:sz w:val="20"/>
              </w:rPr>
              <w:t>Vault Token</w:t>
            </w:r>
          </w:p>
        </w:tc>
        <w:tc>
          <w:tcPr>
            <w:tcW w:type="dxa" w:w="2280"/>
          </w:tcPr>
          <w:p>
            <w:r>
              <w:rPr>
                <w:b/>
                <w:sz w:val="20"/>
              </w:rPr>
              <w:t>Network Token</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sz w:val="20"/>
              </w:rPr>
              <w:t>Issuing authority</w:t>
            </w:r>
          </w:p>
        </w:tc>
        <w:tc>
          <w:tcPr>
            <w:tcW w:type="dxa" w:w="2280"/>
          </w:tcPr>
          <w:p>
            <w:r>
              <w:rPr>
                <w:sz w:val="20"/>
              </w:rPr>
              <w:t>Card network / issuer</w:t>
            </w:r>
          </w:p>
        </w:tc>
        <w:tc>
          <w:tcPr>
            <w:tcW w:type="dxa" w:w="2280"/>
          </w:tcPr>
          <w:p>
            <w:r>
              <w:rPr>
                <w:sz w:val="20"/>
              </w:rPr>
              <w:t>Merchant / PSP</w:t>
            </w:r>
          </w:p>
        </w:tc>
        <w:tc>
          <w:tcPr>
            <w:tcW w:type="dxa" w:w="2280"/>
          </w:tcPr>
          <w:p>
            <w:r>
              <w:rPr>
                <w:sz w:val="20"/>
              </w:rPr>
              <w:t>Card network (e.g. Visa, Mastercard)</w:t>
            </w:r>
          </w:p>
        </w:tc>
      </w:tr>
      <w:tr>
        <w:tc>
          <w:tcPr>
            <w:tcW w:type="dxa" w:w="2280"/>
          </w:tcPr>
          <w:p>
            <w:r>
              <w:rPr>
                <w:sz w:val="20"/>
              </w:rPr>
              <w:t>Domain restriction</w:t>
            </w:r>
          </w:p>
        </w:tc>
        <w:tc>
          <w:tcPr>
            <w:tcW w:type="dxa" w:w="2280"/>
          </w:tcPr>
          <w:p>
            <w:r>
              <w:rPr>
                <w:sz w:val="20"/>
              </w:rPr>
              <w:t>None</w:t>
            </w:r>
          </w:p>
        </w:tc>
        <w:tc>
          <w:tcPr>
            <w:tcW w:type="dxa" w:w="2280"/>
          </w:tcPr>
          <w:p>
            <w:r>
              <w:rPr>
                <w:sz w:val="20"/>
              </w:rPr>
              <w:t>Merchant-specific</w:t>
            </w:r>
          </w:p>
        </w:tc>
        <w:tc>
          <w:tcPr>
            <w:tcW w:type="dxa" w:w="2280"/>
          </w:tcPr>
          <w:p>
            <w:r>
              <w:rPr>
                <w:sz w:val="20"/>
              </w:rPr>
              <w:t>Domain, device or channel-specific</w:t>
            </w:r>
          </w:p>
        </w:tc>
      </w:tr>
      <w:tr>
        <w:tc>
          <w:tcPr>
            <w:tcW w:type="dxa" w:w="2280"/>
          </w:tcPr>
          <w:p>
            <w:r>
              <w:rPr>
                <w:sz w:val="20"/>
              </w:rPr>
              <w:t>Dynamic cryptogram</w:t>
            </w:r>
          </w:p>
        </w:tc>
        <w:tc>
          <w:tcPr>
            <w:tcW w:type="dxa" w:w="2280"/>
          </w:tcPr>
          <w:p>
            <w:r>
              <w:rPr>
                <w:sz w:val="20"/>
              </w:rPr>
              <w:t>No</w:t>
            </w:r>
          </w:p>
        </w:tc>
        <w:tc>
          <w:tcPr>
            <w:tcW w:type="dxa" w:w="2280"/>
          </w:tcPr>
          <w:p>
            <w:r>
              <w:rPr>
                <w:sz w:val="20"/>
              </w:rPr>
              <w:t>No</w:t>
            </w:r>
          </w:p>
        </w:tc>
        <w:tc>
          <w:tcPr>
            <w:tcW w:type="dxa" w:w="2280"/>
          </w:tcPr>
          <w:p>
            <w:r>
              <w:rPr>
                <w:sz w:val="20"/>
              </w:rPr>
              <w:t>Yes -- per-transaction</w:t>
            </w:r>
          </w:p>
        </w:tc>
      </w:tr>
      <w:tr>
        <w:tc>
          <w:tcPr>
            <w:tcW w:type="dxa" w:w="2280"/>
          </w:tcPr>
          <w:p>
            <w:r>
              <w:rPr>
                <w:sz w:val="20"/>
              </w:rPr>
              <w:t>Interoperability</w:t>
            </w:r>
          </w:p>
        </w:tc>
        <w:tc>
          <w:tcPr>
            <w:tcW w:type="dxa" w:w="2280"/>
          </w:tcPr>
          <w:p>
            <w:r>
              <w:rPr>
                <w:sz w:val="20"/>
              </w:rPr>
              <w:t>Full</w:t>
            </w:r>
          </w:p>
        </w:tc>
        <w:tc>
          <w:tcPr>
            <w:tcW w:type="dxa" w:w="2280"/>
          </w:tcPr>
          <w:p>
            <w:r>
              <w:rPr>
                <w:sz w:val="20"/>
              </w:rPr>
              <w:t>Merchant-only</w:t>
            </w:r>
          </w:p>
        </w:tc>
        <w:tc>
          <w:tcPr>
            <w:tcW w:type="dxa" w:w="2280"/>
          </w:tcPr>
          <w:p>
            <w:r>
              <w:rPr>
                <w:sz w:val="20"/>
              </w:rPr>
              <w:t>Network-wide (any acquirer)</w:t>
            </w:r>
          </w:p>
        </w:tc>
      </w:tr>
      <w:tr>
        <w:tc>
          <w:tcPr>
            <w:tcW w:type="dxa" w:w="2280"/>
          </w:tcPr>
          <w:p>
            <w:r>
              <w:rPr>
                <w:sz w:val="20"/>
              </w:rPr>
              <w:t>Issuer visibility</w:t>
            </w:r>
          </w:p>
        </w:tc>
        <w:tc>
          <w:tcPr>
            <w:tcW w:type="dxa" w:w="2280"/>
          </w:tcPr>
          <w:p>
            <w:r>
              <w:rPr>
                <w:sz w:val="20"/>
              </w:rPr>
              <w:t>Full</w:t>
            </w:r>
          </w:p>
        </w:tc>
        <w:tc>
          <w:tcPr>
            <w:tcW w:type="dxa" w:w="2280"/>
          </w:tcPr>
          <w:p>
            <w:r>
              <w:rPr>
                <w:sz w:val="20"/>
              </w:rPr>
              <w:t>Opaque</w:t>
            </w:r>
          </w:p>
        </w:tc>
        <w:tc>
          <w:tcPr>
            <w:tcW w:type="dxa" w:w="2280"/>
          </w:tcPr>
          <w:p>
            <w:r>
              <w:rPr>
                <w:sz w:val="20"/>
              </w:rPr>
              <w:t>Full (mapped at network)</w:t>
            </w:r>
          </w:p>
        </w:tc>
      </w:tr>
      <w:tr>
        <w:tc>
          <w:tcPr>
            <w:tcW w:type="dxa" w:w="2280"/>
          </w:tcPr>
          <w:p>
            <w:r>
              <w:rPr>
                <w:sz w:val="20"/>
              </w:rPr>
              <w:t>Lifecycle management</w:t>
            </w:r>
          </w:p>
        </w:tc>
        <w:tc>
          <w:tcPr>
            <w:tcW w:type="dxa" w:w="2280"/>
          </w:tcPr>
          <w:p>
            <w:r>
              <w:rPr>
                <w:sz w:val="20"/>
              </w:rPr>
              <w:t>Cardholder / issuer</w:t>
            </w:r>
          </w:p>
        </w:tc>
        <w:tc>
          <w:tcPr>
            <w:tcW w:type="dxa" w:w="2280"/>
          </w:tcPr>
          <w:p>
            <w:r>
              <w:rPr>
                <w:sz w:val="20"/>
              </w:rPr>
              <w:t>Merchant</w:t>
            </w:r>
          </w:p>
        </w:tc>
        <w:tc>
          <w:tcPr>
            <w:tcW w:type="dxa" w:w="2280"/>
          </w:tcPr>
          <w:p>
            <w:r>
              <w:rPr>
                <w:sz w:val="20"/>
              </w:rPr>
              <w:t>Network + issuer</w:t>
            </w:r>
          </w:p>
        </w:tc>
      </w:tr>
    </w:tbl>
    <w:p/>
    <w:p>
      <w:pPr>
        <w:pStyle w:val="Heading2"/>
      </w:pPr>
      <w:r>
        <w:rPr>
          <w:b/>
          <w:color w:val="0047AB"/>
          <w:sz w:val="28"/>
        </w:rPr>
        <w:t>1.2  Token Reference Number and Cryptogram</w:t>
      </w:r>
    </w:p>
    <w:p>
      <w:r>
        <w:rPr>
          <w:rFonts w:ascii="Calibri" w:hAnsi="Calibri"/>
          <w:sz w:val="22"/>
        </w:rPr>
        <w:t>Each token issuance produces two artefacts that work together:</w:t>
      </w:r>
    </w:p>
    <w:p>
      <w:pPr>
        <w:pStyle w:val="ListBullet"/>
        <w:ind w:left="432"/>
      </w:pPr>
      <w:r>
        <w:rPr>
          <w:rFonts w:ascii="Calibri" w:hAnsi="Calibri"/>
          <w:sz w:val="22"/>
        </w:rPr>
        <w:t>Token (DPAN) -- A 16-digit surrogate PAN issued within the original card's BIN range. It is stable across transactions for the same domain/merchant binding.</w:t>
      </w:r>
    </w:p>
    <w:p>
      <w:pPr>
        <w:pStyle w:val="ListBullet"/>
        <w:ind w:left="432"/>
      </w:pPr>
      <w:r>
        <w:rPr>
          <w:rFonts w:ascii="Calibri" w:hAnsi="Calibri"/>
          <w:sz w:val="22"/>
        </w:rPr>
        <w:t>Transaction Cryptogram (TAVV / CAVV) -- A one-time, cryptographically derived value tied to the token, the merchant domain, and the specific transaction context. It is generated by the Token Service Provider (TSP) through the payment credentials (networkTokens) API and is included in the authorisation request to prove the token was legitimately obtained.</w:t>
      </w:r>
    </w:p>
    <w:p>
      <w:r>
        <w:br w:type="page"/>
      </w:r>
    </w:p>
    <w:p>
      <w:pPr>
        <w:pStyle w:val="Heading1"/>
      </w:pPr>
      <w:r>
        <w:rPr>
          <w:b/>
          <w:color w:val="0047AB"/>
          <w:sz w:val="36"/>
        </w:rPr>
        <w:t>2.  Capabilities</w:t>
      </w:r>
    </w:p>
    <w:p>
      <w:r>
        <w:rPr>
          <w:rFonts w:ascii="Calibri" w:hAnsi="Calibri"/>
          <w:sz w:val="22"/>
        </w:rPr>
        <w:t>Network tokenisation delivers a rich set of capabilities that extend well beyond basic fraud reduction:</w:t>
      </w:r>
    </w:p>
    <w:p>
      <w:pPr>
        <w:pStyle w:val="Heading2"/>
      </w:pPr>
      <w:r>
        <w:rPr>
          <w:b/>
          <w:color w:val="0047AB"/>
          <w:sz w:val="28"/>
        </w:rPr>
        <w:t>2.1  Domain and Channel Binding</w:t>
      </w:r>
    </w:p>
    <w:p>
      <w:r>
        <w:rPr>
          <w:rFonts w:ascii="Calibri" w:hAnsi="Calibri"/>
          <w:sz w:val="22"/>
        </w:rPr>
        <w:t>Tokens can be scoped to a specific domain (e.g. a merchant URL), device, or payment channel (e-commerce, in-app, recurring). Any attempt to use the token outside its domain renders it invalid, making stolen tokens worthless to attackers.</w:t>
      </w:r>
    </w:p>
    <w:p>
      <w:pPr>
        <w:pStyle w:val="Heading2"/>
      </w:pPr>
      <w:r>
        <w:rPr>
          <w:b/>
          <w:color w:val="0047AB"/>
          <w:sz w:val="28"/>
        </w:rPr>
        <w:t>2.2  Dynamic Cryptogram Generation</w:t>
      </w:r>
    </w:p>
    <w:p>
      <w:r>
        <w:rPr>
          <w:rFonts w:ascii="Calibri" w:hAnsi="Calibri"/>
          <w:sz w:val="22"/>
        </w:rPr>
        <w:t>Every call to the payment-credentials API returns a fresh cryptogram. This eliminates replay-attack vectors entirely: even if an interceptor captures a token + cryptogram pair, it cannot be re-used in a subsequent transaction.</w:t>
      </w:r>
    </w:p>
    <w:p>
      <w:pPr>
        <w:pStyle w:val="Heading2"/>
      </w:pPr>
      <w:r>
        <w:rPr>
          <w:b/>
          <w:color w:val="0047AB"/>
          <w:sz w:val="28"/>
        </w:rPr>
        <w:t>2.3  Automatic Card Account Updater</w:t>
      </w:r>
    </w:p>
    <w:p>
      <w:r>
        <w:rPr>
          <w:rFonts w:ascii="Calibri" w:hAnsi="Calibri"/>
          <w:sz w:val="22"/>
        </w:rPr>
        <w:t>When an underlying card is renewed, upgraded, or reissued, the card network silently updates the token mapping. Merchants no longer need to prompt customers to re-enter new card details, which dramatically reduces involuntary churn in subscription billing scenarios.</w:t>
      </w:r>
    </w:p>
    <w:p>
      <w:pPr>
        <w:pStyle w:val="Heading2"/>
      </w:pPr>
      <w:r>
        <w:rPr>
          <w:b/>
          <w:color w:val="0047AB"/>
          <w:sz w:val="28"/>
        </w:rPr>
        <w:t>2.4  Lifecycle Management</w:t>
      </w:r>
    </w:p>
    <w:p>
      <w:r>
        <w:rPr>
          <w:rFonts w:ascii="Calibri" w:hAnsi="Calibri"/>
          <w:sz w:val="22"/>
        </w:rPr>
        <w:t>The network maintains the full lifecycle of the token: provisioning, suspension, deletion, and expiry. Merchants interact through standardised APIs (CyberSource Instrument Identifier / Payment Credentials endpoints) without needing to manage cryptographic keys or token storage at scale.</w:t>
      </w:r>
    </w:p>
    <w:p>
      <w:pPr>
        <w:pStyle w:val="Heading2"/>
      </w:pPr>
      <w:r>
        <w:rPr>
          <w:b/>
          <w:color w:val="0047AB"/>
          <w:sz w:val="28"/>
        </w:rPr>
        <w:t>2.5  Multi-Merchant / Multi-Acquirer Portability</w:t>
      </w:r>
    </w:p>
    <w:p>
      <w:r>
        <w:rPr>
          <w:rFonts w:ascii="Calibri" w:hAnsi="Calibri"/>
          <w:sz w:val="22"/>
        </w:rPr>
        <w:t>Because the token lives on the card network, it can optionally be shared across multiple acquirers and merchants within the scope permitted by the issuer, supporting omni-channel and marketplace payment architectures.</w:t>
      </w:r>
    </w:p>
    <w:p>
      <w:pPr>
        <w:pStyle w:val="Heading2"/>
      </w:pPr>
      <w:r>
        <w:rPr>
          <w:b/>
          <w:color w:val="0047AB"/>
          <w:sz w:val="28"/>
        </w:rPr>
        <w:t>2.6  Real-Time Risk Signals</w:t>
      </w:r>
    </w:p>
    <w:p>
      <w:r>
        <w:rPr>
          <w:rFonts w:ascii="Calibri" w:hAnsi="Calibri"/>
          <w:sz w:val="22"/>
        </w:rPr>
        <w:t>Token requests carry device and channel context that feeds the network and issuer fraud models, improving authorisation rates relative to raw PAN transactions.</w:t>
      </w:r>
    </w:p>
    <w:p>
      <w:r>
        <w:br w:type="page"/>
      </w:r>
    </w:p>
    <w:p>
      <w:pPr>
        <w:pStyle w:val="Heading1"/>
      </w:pPr>
      <w:r>
        <w:rPr>
          <w:b/>
          <w:color w:val="0047AB"/>
          <w:sz w:val="36"/>
        </w:rPr>
        <w:t>3.  Key Participants</w:t>
      </w:r>
    </w:p>
    <w:p>
      <w:r>
        <w:rPr>
          <w:rFonts w:ascii="Calibri" w:hAnsi="Calibri"/>
          <w:sz w:val="22"/>
        </w:rPr>
        <w:t>The network token ecosystem involves six primary parties working in concert:</w:t>
      </w:r>
    </w:p>
    <w:tbl>
      <w:tblPr>
        <w:tblStyle w:val="LightShading-Accent1"/>
        <w:tblW w:type="auto" w:w="0"/>
        <w:tblLook w:firstColumn="1" w:firstRow="1" w:lastColumn="0" w:lastRow="0" w:noHBand="0" w:noVBand="1" w:val="04A0"/>
      </w:tblPr>
      <w:tblGrid>
        <w:gridCol w:w="3041"/>
        <w:gridCol w:w="3041"/>
        <w:gridCol w:w="3041"/>
      </w:tblGrid>
      <w:tr>
        <w:tc>
          <w:tcPr>
            <w:tcW w:type="dxa" w:w="3041"/>
          </w:tcPr>
          <w:p>
            <w:r>
              <w:rPr>
                <w:b/>
                <w:sz w:val="20"/>
              </w:rPr>
              <w:t>Participant</w:t>
            </w:r>
          </w:p>
        </w:tc>
        <w:tc>
          <w:tcPr>
            <w:tcW w:type="dxa" w:w="3041"/>
          </w:tcPr>
          <w:p>
            <w:r>
              <w:rPr>
                <w:b/>
                <w:sz w:val="20"/>
              </w:rPr>
              <w:t>Role</w:t>
            </w:r>
          </w:p>
        </w:tc>
        <w:tc>
          <w:tcPr>
            <w:tcW w:type="dxa" w:w="3041"/>
          </w:tcPr>
          <w:p>
            <w:r>
              <w:rPr>
                <w:b/>
                <w:sz w:val="20"/>
              </w:rPr>
              <w:t>Interaction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Cardholder</w:t>
            </w:r>
          </w:p>
        </w:tc>
        <w:tc>
          <w:tcPr>
            <w:tcW w:type="dxa" w:w="3041"/>
          </w:tcPr>
          <w:p>
            <w:r>
              <w:rPr>
                <w:sz w:val="20"/>
              </w:rPr>
              <w:t>Consumer whose card credentials are tokenised.</w:t>
            </w:r>
          </w:p>
        </w:tc>
        <w:tc>
          <w:tcPr>
            <w:tcW w:type="dxa" w:w="3041"/>
          </w:tcPr>
          <w:p>
            <w:r>
              <w:rPr>
                <w:sz w:val="20"/>
              </w:rPr>
              <w:t>Provides PAN at enrolment; transparent to tokenisation at run-time.</w:t>
            </w:r>
          </w:p>
        </w:tc>
      </w:tr>
      <w:tr>
        <w:tc>
          <w:tcPr>
            <w:tcW w:type="dxa" w:w="3041"/>
          </w:tcPr>
          <w:p>
            <w:r>
              <w:rPr>
                <w:sz w:val="20"/>
              </w:rPr>
              <w:t>Issuer</w:t>
            </w:r>
          </w:p>
        </w:tc>
        <w:tc>
          <w:tcPr>
            <w:tcW w:type="dxa" w:w="3041"/>
          </w:tcPr>
          <w:p>
            <w:r>
              <w:rPr>
                <w:sz w:val="20"/>
              </w:rPr>
              <w:t>Bank or financial institution that issued the underlying card.</w:t>
            </w:r>
          </w:p>
        </w:tc>
        <w:tc>
          <w:tcPr>
            <w:tcW w:type="dxa" w:w="3041"/>
          </w:tcPr>
          <w:p>
            <w:r>
              <w:rPr>
                <w:sz w:val="20"/>
              </w:rPr>
              <w:t>Approves token provisioning; receives token-mapped authorisation; updates mapping on card renewal.</w:t>
            </w:r>
          </w:p>
        </w:tc>
      </w:tr>
      <w:tr>
        <w:tc>
          <w:tcPr>
            <w:tcW w:type="dxa" w:w="3041"/>
          </w:tcPr>
          <w:p>
            <w:r>
              <w:rPr>
                <w:sz w:val="20"/>
              </w:rPr>
              <w:t>Token Service Provider (TSP)</w:t>
            </w:r>
          </w:p>
        </w:tc>
        <w:tc>
          <w:tcPr>
            <w:tcW w:type="dxa" w:w="3041"/>
          </w:tcPr>
          <w:p>
            <w:r>
              <w:rPr>
                <w:sz w:val="20"/>
              </w:rPr>
              <w:t>Card network (Visa Token Service, Mastercard MDES, Amex Token Hub, etc.)</w:t>
            </w:r>
          </w:p>
        </w:tc>
        <w:tc>
          <w:tcPr>
            <w:tcW w:type="dxa" w:w="3041"/>
          </w:tcPr>
          <w:p>
            <w:r>
              <w:rPr>
                <w:sz w:val="20"/>
              </w:rPr>
              <w:t>Issues DPAN, stores the FPAN-DPAN mapping, generates cryptograms.</w:t>
            </w:r>
          </w:p>
        </w:tc>
      </w:tr>
      <w:tr>
        <w:tc>
          <w:tcPr>
            <w:tcW w:type="dxa" w:w="3041"/>
          </w:tcPr>
          <w:p>
            <w:r>
              <w:rPr>
                <w:sz w:val="20"/>
              </w:rPr>
              <w:t>Merchant / Token Requestor</w:t>
            </w:r>
          </w:p>
        </w:tc>
        <w:tc>
          <w:tcPr>
            <w:tcW w:type="dxa" w:w="3041"/>
          </w:tcPr>
          <w:p>
            <w:r>
              <w:rPr>
                <w:sz w:val="20"/>
              </w:rPr>
              <w:t>Business accepting the payment.</w:t>
            </w:r>
          </w:p>
        </w:tc>
        <w:tc>
          <w:tcPr>
            <w:tcW w:type="dxa" w:w="3041"/>
          </w:tcPr>
          <w:p>
            <w:r>
              <w:rPr>
                <w:sz w:val="20"/>
              </w:rPr>
              <w:t>Requests instrument identifier, stores DPAN instead of PAN, submits token + cryptogram in auth.</w:t>
            </w:r>
          </w:p>
        </w:tc>
      </w:tr>
      <w:tr>
        <w:tc>
          <w:tcPr>
            <w:tcW w:type="dxa" w:w="3041"/>
          </w:tcPr>
          <w:p>
            <w:r>
              <w:rPr>
                <w:sz w:val="20"/>
              </w:rPr>
              <w:t>Acquirer / Payment Processor</w:t>
            </w:r>
          </w:p>
        </w:tc>
        <w:tc>
          <w:tcPr>
            <w:tcW w:type="dxa" w:w="3041"/>
          </w:tcPr>
          <w:p>
            <w:r>
              <w:rPr>
                <w:sz w:val="20"/>
              </w:rPr>
              <w:t>Bank or processor routing authorisation on behalf of the merchant.</w:t>
            </w:r>
          </w:p>
        </w:tc>
        <w:tc>
          <w:tcPr>
            <w:tcW w:type="dxa" w:w="3041"/>
          </w:tcPr>
          <w:p>
            <w:r>
              <w:rPr>
                <w:sz w:val="20"/>
              </w:rPr>
              <w:t>Receives token + cryptogram, routes to network; benefits from lower chargeback liability.</w:t>
            </w:r>
          </w:p>
        </w:tc>
      </w:tr>
      <w:tr>
        <w:tc>
          <w:tcPr>
            <w:tcW w:type="dxa" w:w="3041"/>
          </w:tcPr>
          <w:p>
            <w:r>
              <w:rPr>
                <w:sz w:val="20"/>
              </w:rPr>
              <w:t>Payment Gateway / Platform (e.g. CyberSource)</w:t>
            </w:r>
          </w:p>
        </w:tc>
        <w:tc>
          <w:tcPr>
            <w:tcW w:type="dxa" w:w="3041"/>
          </w:tcPr>
          <w:p>
            <w:r>
              <w:rPr>
                <w:sz w:val="20"/>
              </w:rPr>
              <w:t>Technical intermediary providing token management APIs.</w:t>
            </w:r>
          </w:p>
        </w:tc>
        <w:tc>
          <w:tcPr>
            <w:tcW w:type="dxa" w:w="3041"/>
          </w:tcPr>
          <w:p>
            <w:r>
              <w:rPr>
                <w:sz w:val="20"/>
              </w:rPr>
              <w:t>Exposes Instrument Identifier, Payment Credentials, and Network Token endpoints; handles JWT auth and persistence.</w:t>
            </w:r>
          </w:p>
        </w:tc>
      </w:tr>
    </w:tbl>
    <w:p/>
    <w:p>
      <w:r>
        <w:br w:type="page"/>
      </w:r>
    </w:p>
    <w:p>
      <w:pPr>
        <w:pStyle w:val="Heading1"/>
      </w:pPr>
      <w:r>
        <w:rPr>
          <w:b/>
          <w:color w:val="0047AB"/>
          <w:sz w:val="36"/>
        </w:rPr>
        <w:t>4.  Benefits to Key Stakeholders</w:t>
      </w:r>
    </w:p>
    <w:p>
      <w:pPr>
        <w:pStyle w:val="Heading2"/>
      </w:pPr>
      <w:r>
        <w:rPr>
          <w:b/>
          <w:color w:val="0047AB"/>
          <w:sz w:val="28"/>
        </w:rPr>
        <w:t>4.1  Benefits to Customers (Cardholders)</w:t>
      </w:r>
    </w:p>
    <w:p>
      <w:pPr>
        <w:pStyle w:val="ListBullet"/>
        <w:ind w:left="432"/>
      </w:pPr>
      <w:r>
        <w:rPr>
          <w:rFonts w:ascii="Calibri" w:hAnsi="Calibri"/>
          <w:sz w:val="22"/>
        </w:rPr>
        <w:t>Enhanced Security -- The actual PAN is never transmitted to or stored by the merchant after initial enrolment; compromise of the merchant database cannot expose usable card data.</w:t>
      </w:r>
    </w:p>
    <w:p>
      <w:pPr>
        <w:pStyle w:val="ListBullet"/>
        <w:ind w:left="432"/>
      </w:pPr>
      <w:r>
        <w:rPr>
          <w:rFonts w:ascii="Calibri" w:hAnsi="Calibri"/>
          <w:sz w:val="22"/>
        </w:rPr>
        <w:t>Seamless Card Renewal -- When a card expires or is reissued, existing tokenised subscriptions and saved cards continue to work without requiring the customer to re-enter card details.</w:t>
      </w:r>
    </w:p>
    <w:p>
      <w:pPr>
        <w:pStyle w:val="ListBullet"/>
        <w:ind w:left="432"/>
      </w:pPr>
      <w:r>
        <w:rPr>
          <w:rFonts w:ascii="Calibri" w:hAnsi="Calibri"/>
          <w:sz w:val="22"/>
        </w:rPr>
        <w:t>Greater Privacy -- Token domain restriction means card credentials cannot be used for transactions outside the intended merchant or channel.</w:t>
      </w:r>
    </w:p>
    <w:p>
      <w:pPr>
        <w:pStyle w:val="ListBullet"/>
        <w:ind w:left="432"/>
      </w:pPr>
      <w:r>
        <w:rPr>
          <w:rFonts w:ascii="Calibri" w:hAnsi="Calibri"/>
          <w:sz w:val="22"/>
        </w:rPr>
        <w:t>Improved Authorisation Rates -- Token-backed transactions are typically approved at higher rates because the issuer gains richer contextual data and trusts the tokenisation assurance level.</w:t>
      </w:r>
    </w:p>
    <w:p>
      <w:pPr>
        <w:pStyle w:val="ListBullet"/>
        <w:ind w:left="432"/>
      </w:pPr>
      <w:r>
        <w:rPr>
          <w:rFonts w:ascii="Calibri" w:hAnsi="Calibri"/>
          <w:sz w:val="22"/>
        </w:rPr>
        <w:t>Reduced Disruption from Fraud Recovery -- If a physical card is compromised, the issuer can reissue a new PAN while preserving token continuity for trusted digital merchants.</w:t>
      </w:r>
    </w:p>
    <w:p>
      <w:pPr>
        <w:pStyle w:val="Heading2"/>
      </w:pPr>
      <w:r>
        <w:rPr>
          <w:b/>
          <w:color w:val="0047AB"/>
          <w:sz w:val="28"/>
        </w:rPr>
        <w:t>4.2  Benefits to Merchants</w:t>
      </w:r>
    </w:p>
    <w:p>
      <w:pPr>
        <w:pStyle w:val="ListBullet"/>
        <w:ind w:left="432"/>
      </w:pPr>
      <w:r>
        <w:rPr>
          <w:rFonts w:ascii="Calibri" w:hAnsi="Calibri"/>
          <w:sz w:val="22"/>
        </w:rPr>
        <w:t>PCI-DSS Scope Reduction -- Storing tokens rather than PANs significantly reduces the number of systems in scope for PCI-DSS assessments.</w:t>
      </w:r>
    </w:p>
    <w:p>
      <w:pPr>
        <w:pStyle w:val="ListBullet"/>
        <w:ind w:left="432"/>
      </w:pPr>
      <w:r>
        <w:rPr>
          <w:rFonts w:ascii="Calibri" w:hAnsi="Calibri"/>
          <w:sz w:val="22"/>
        </w:rPr>
        <w:t>Lower Fraud and Chargeback Rates -- Dynamic cryptograms eliminate card-not-present fraud originating from stolen credential databases.</w:t>
      </w:r>
    </w:p>
    <w:p>
      <w:pPr>
        <w:pStyle w:val="ListBullet"/>
        <w:ind w:left="432"/>
      </w:pPr>
      <w:r>
        <w:rPr>
          <w:rFonts w:ascii="Calibri" w:hAnsi="Calibri"/>
          <w:sz w:val="22"/>
        </w:rPr>
        <w:t>Higher Authorisation and Conversion Rates -- Networks report 5-10% improvement in approval rates for tokenised transactions versus raw-PAN card-not-present flows.</w:t>
      </w:r>
    </w:p>
    <w:p>
      <w:pPr>
        <w:pStyle w:val="ListBullet"/>
        <w:ind w:left="432"/>
      </w:pPr>
      <w:r>
        <w:rPr>
          <w:rFonts w:ascii="Calibri" w:hAnsi="Calibri"/>
          <w:sz w:val="22"/>
        </w:rPr>
        <w:t>Subscription Resilience -- Automatic Account Updater functionality eliminates involuntary churn caused by card renewals (estimated 5-15% of subscription failures are due to stale card data).</w:t>
      </w:r>
    </w:p>
    <w:p>
      <w:pPr>
        <w:pStyle w:val="ListBullet"/>
        <w:ind w:left="432"/>
      </w:pPr>
      <w:r>
        <w:rPr>
          <w:rFonts w:ascii="Calibri" w:hAnsi="Calibri"/>
          <w:sz w:val="22"/>
        </w:rPr>
        <w:t>Customer Trust and Brand Value -- Demonstrable security investment increases customer confidence and supports regulatory compliance narratives.</w:t>
      </w:r>
    </w:p>
    <w:p>
      <w:pPr>
        <w:pStyle w:val="Heading2"/>
      </w:pPr>
      <w:r>
        <w:rPr>
          <w:b/>
          <w:color w:val="0047AB"/>
          <w:sz w:val="28"/>
        </w:rPr>
        <w:t>4.3  Benefits to Acquirers</w:t>
      </w:r>
    </w:p>
    <w:p>
      <w:pPr>
        <w:pStyle w:val="ListBullet"/>
        <w:ind w:left="432"/>
      </w:pPr>
      <w:r>
        <w:rPr>
          <w:rFonts w:ascii="Calibri" w:hAnsi="Calibri"/>
          <w:sz w:val="22"/>
        </w:rPr>
        <w:t>Reduced Fraud Liability -- Tokenised transactions often qualify for liability shift similar to 3DS, transferring chargeback liability from the acquirer/merchant to the issuer.</w:t>
      </w:r>
    </w:p>
    <w:p>
      <w:pPr>
        <w:pStyle w:val="ListBullet"/>
        <w:ind w:left="432"/>
      </w:pPr>
      <w:r>
        <w:rPr>
          <w:rFonts w:ascii="Calibri" w:hAnsi="Calibri"/>
          <w:sz w:val="22"/>
        </w:rPr>
        <w:t>Lower Operational Costs -- Fewer disputes, fraud investigations, and compliance incidents translate directly to reduced operational overhead.</w:t>
      </w:r>
    </w:p>
    <w:p>
      <w:pPr>
        <w:pStyle w:val="ListBullet"/>
        <w:ind w:left="432"/>
      </w:pPr>
      <w:r>
        <w:rPr>
          <w:rFonts w:ascii="Calibri" w:hAnsi="Calibri"/>
          <w:sz w:val="22"/>
        </w:rPr>
        <w:t>Competitive Differentiation -- Offering network token services as a managed capability helps acquirers attract and retain merchants demanding modern, secure payment rails.</w:t>
      </w:r>
    </w:p>
    <w:p>
      <w:pPr>
        <w:pStyle w:val="ListBullet"/>
        <w:ind w:left="432"/>
      </w:pPr>
      <w:r>
        <w:rPr>
          <w:rFonts w:ascii="Calibri" w:hAnsi="Calibri"/>
          <w:sz w:val="22"/>
        </w:rPr>
        <w:t>Improved Network Relationships -- Routing more tokenised volume strengthens the acquirer's relationship with the card networks and may attract preferential interchange or incentive pricing.</w:t>
      </w:r>
    </w:p>
    <w:p>
      <w:pPr>
        <w:pStyle w:val="ListBullet"/>
        <w:ind w:left="432"/>
      </w:pPr>
      <w:r>
        <w:rPr>
          <w:rFonts w:ascii="Calibri" w:hAnsi="Calibri"/>
          <w:sz w:val="22"/>
        </w:rPr>
        <w:t>Future-Readiness -- Readiness for emerging standards (EMV Secure Remote Commerce, PSD2 SCA tokens, CBDC-linked credentials) builds on the same tokenisation infrastructure.</w:t>
      </w:r>
    </w:p>
    <w:p>
      <w:r>
        <w:br w:type="page"/>
      </w:r>
    </w:p>
    <w:p>
      <w:pPr>
        <w:pStyle w:val="Heading1"/>
      </w:pPr>
      <w:r>
        <w:rPr>
          <w:b/>
          <w:color w:val="0047AB"/>
          <w:sz w:val="36"/>
        </w:rPr>
        <w:t>5.  The Network Token Ecosystem Explained</w:t>
      </w:r>
    </w:p>
    <w:p>
      <w:r>
        <w:rPr>
          <w:rFonts w:ascii="Calibri" w:hAnsi="Calibri"/>
          <w:sz w:val="22"/>
        </w:rPr>
        <w:t>The following describes the end-to-end lifecycle of a network token from initial provisioning through transaction authorisation.</w:t>
      </w:r>
    </w:p>
    <w:p>
      <w:pPr>
        <w:pStyle w:val="Heading2"/>
      </w:pPr>
      <w:r>
        <w:rPr>
          <w:b/>
          <w:color w:val="0047AB"/>
          <w:sz w:val="28"/>
        </w:rPr>
        <w:t>5.1  Token Provisioning Flow</w:t>
      </w:r>
    </w:p>
    <w:p>
      <w:pPr>
        <w:ind w:left="288"/>
      </w:pPr>
      <w:r>
        <w:rPr>
          <w:rFonts w:ascii="Calibri" w:hAnsi="Calibri"/>
          <w:b/>
          <w:sz w:val="22"/>
        </w:rPr>
        <w:t xml:space="preserve">Step 1 -- PAN Capture: </w:t>
      </w:r>
      <w:r>
        <w:rPr>
          <w:rFonts w:ascii="Calibri" w:hAnsi="Calibri"/>
          <w:sz w:val="22"/>
        </w:rPr>
        <w:t>The cardholder enters their card details (PAN, expiry, CVV) during initial checkout or card-on-file enrolment.</w:t>
      </w:r>
    </w:p>
    <w:p>
      <w:pPr>
        <w:ind w:left="288"/>
      </w:pPr>
      <w:r>
        <w:rPr>
          <w:rFonts w:ascii="Calibri" w:hAnsi="Calibri"/>
          <w:b/>
          <w:sz w:val="22"/>
        </w:rPr>
        <w:t xml:space="preserve">Step 2 -- Instrument Identifier Creation: </w:t>
      </w:r>
      <w:r>
        <w:rPr>
          <w:rFonts w:ascii="Calibri" w:hAnsi="Calibri"/>
          <w:sz w:val="22"/>
        </w:rPr>
        <w:t>The merchant back-end calls the CyberSource Instrument Identifier API (POST /pts/v2/instrumentidentifiers) supplying only the PAN. CyberSource forwards this to the card network TSP.</w:t>
      </w:r>
    </w:p>
    <w:p>
      <w:pPr>
        <w:ind w:left="288"/>
      </w:pPr>
      <w:r>
        <w:rPr>
          <w:rFonts w:ascii="Calibri" w:hAnsi="Calibri"/>
          <w:b/>
          <w:sz w:val="22"/>
        </w:rPr>
        <w:t xml:space="preserve">Step 3 -- DPAN Issuance: </w:t>
      </w:r>
      <w:r>
        <w:rPr>
          <w:rFonts w:ascii="Calibri" w:hAnsi="Calibri"/>
          <w:sz w:val="22"/>
        </w:rPr>
        <w:t>The TSP validates the PAN with the issuer, creates a domain-scoped DPAN, and returns a stable Instrument Identifier token ID to CyberSource, which the merchant stores in lieu of the PAN.</w:t>
      </w:r>
    </w:p>
    <w:p>
      <w:pPr>
        <w:ind w:left="288"/>
      </w:pPr>
      <w:r>
        <w:rPr>
          <w:rFonts w:ascii="Calibri" w:hAnsi="Calibri"/>
          <w:b/>
          <w:sz w:val="22"/>
        </w:rPr>
        <w:t xml:space="preserve">Step 4 -- Payment Credentials Retrieval: </w:t>
      </w:r>
      <w:r>
        <w:rPr>
          <w:rFonts w:ascii="Calibri" w:hAnsi="Calibri"/>
          <w:sz w:val="22"/>
        </w:rPr>
        <w:t>At transaction time, the merchant calls GET /pts/v2/instrumentidentifiers/{id}/networkTokens. CyberSource contacts the TSP to generate a fresh DPAN + cryptogram pair, persists a reference in MongoDB (as implemented in this project), and returns the artefacts to the merchant.</w:t>
      </w:r>
    </w:p>
    <w:p>
      <w:pPr>
        <w:ind w:left="288"/>
      </w:pPr>
      <w:r>
        <w:rPr>
          <w:rFonts w:ascii="Calibri" w:hAnsi="Calibri"/>
          <w:b/>
          <w:sz w:val="22"/>
        </w:rPr>
        <w:t xml:space="preserve">Step 5 -- Authorisation: </w:t>
      </w:r>
      <w:r>
        <w:rPr>
          <w:rFonts w:ascii="Calibri" w:hAnsi="Calibri"/>
          <w:sz w:val="22"/>
        </w:rPr>
        <w:t>The merchant constructs an authorisation request using the DPAN as the card number and includes the cryptogram in the appropriate EMV field. The acquirer routes this to the network. The TSP de-aliases the DPAN to the FPAN before the issuer receives the authorisation request.</w:t>
      </w:r>
    </w:p>
    <w:p>
      <w:pPr>
        <w:ind w:left="288"/>
      </w:pPr>
      <w:r>
        <w:rPr>
          <w:rFonts w:ascii="Calibri" w:hAnsi="Calibri"/>
          <w:b/>
          <w:sz w:val="22"/>
        </w:rPr>
        <w:t xml:space="preserve">Step 6 -- Authorisation Response: </w:t>
      </w:r>
      <w:r>
        <w:rPr>
          <w:rFonts w:ascii="Calibri" w:hAnsi="Calibri"/>
          <w:sz w:val="22"/>
        </w:rPr>
        <w:t>The issuer approves or declines as normal. The approval rate is typically higher due to the cryptogram assurance and richer device/channel context.</w:t>
      </w:r>
    </w:p>
    <w:p>
      <w:pPr>
        <w:pStyle w:val="Heading2"/>
      </w:pPr>
      <w:r>
        <w:rPr>
          <w:b/>
          <w:color w:val="0047AB"/>
          <w:sz w:val="28"/>
        </w:rPr>
        <w:t>5.2  Token Lifecycle Events</w:t>
      </w:r>
    </w:p>
    <w:tbl>
      <w:tblPr>
        <w:tblStyle w:val="LightShading-Accent1"/>
        <w:tblW w:type="auto" w:w="0"/>
        <w:tblLook w:firstColumn="1" w:firstRow="1" w:lastColumn="0" w:lastRow="0" w:noHBand="0" w:noVBand="1" w:val="04A0"/>
      </w:tblPr>
      <w:tblGrid>
        <w:gridCol w:w="3041"/>
        <w:gridCol w:w="3041"/>
        <w:gridCol w:w="3041"/>
      </w:tblGrid>
      <w:tr>
        <w:tc>
          <w:tcPr>
            <w:tcW w:type="dxa" w:w="3041"/>
          </w:tcPr>
          <w:p>
            <w:r>
              <w:rPr>
                <w:b/>
                <w:sz w:val="20"/>
              </w:rPr>
              <w:t>Event</w:t>
            </w:r>
          </w:p>
        </w:tc>
        <w:tc>
          <w:tcPr>
            <w:tcW w:type="dxa" w:w="3041"/>
          </w:tcPr>
          <w:p>
            <w:r>
              <w:rPr>
                <w:b/>
                <w:sz w:val="20"/>
              </w:rPr>
              <w:t>Trigger</w:t>
            </w:r>
          </w:p>
        </w:tc>
        <w:tc>
          <w:tcPr>
            <w:tcW w:type="dxa" w:w="3041"/>
          </w:tcPr>
          <w:p>
            <w:r>
              <w:rPr>
                <w:b/>
                <w:sz w:val="20"/>
              </w:rPr>
              <w:t>Outcome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Provisioning</w:t>
            </w:r>
          </w:p>
        </w:tc>
        <w:tc>
          <w:tcPr>
            <w:tcW w:type="dxa" w:w="3041"/>
          </w:tcPr>
          <w:p>
            <w:r>
              <w:rPr>
                <w:sz w:val="20"/>
              </w:rPr>
              <w:t>Merchant calls Instrument Identifier API</w:t>
            </w:r>
          </w:p>
        </w:tc>
        <w:tc>
          <w:tcPr>
            <w:tcW w:type="dxa" w:w="3041"/>
          </w:tcPr>
          <w:p>
            <w:r>
              <w:rPr>
                <w:sz w:val="20"/>
              </w:rPr>
              <w:t>DPAN created and stored</w:t>
            </w:r>
          </w:p>
        </w:tc>
      </w:tr>
      <w:tr>
        <w:tc>
          <w:tcPr>
            <w:tcW w:type="dxa" w:w="3041"/>
          </w:tcPr>
          <w:p>
            <w:r>
              <w:rPr>
                <w:sz w:val="20"/>
              </w:rPr>
              <w:t>Cryptogram generation</w:t>
            </w:r>
          </w:p>
        </w:tc>
        <w:tc>
          <w:tcPr>
            <w:tcW w:type="dxa" w:w="3041"/>
          </w:tcPr>
          <w:p>
            <w:r>
              <w:rPr>
                <w:sz w:val="20"/>
              </w:rPr>
              <w:t>Merchant calls Payment Credentials API</w:t>
            </w:r>
          </w:p>
        </w:tc>
        <w:tc>
          <w:tcPr>
            <w:tcW w:type="dxa" w:w="3041"/>
          </w:tcPr>
          <w:p>
            <w:r>
              <w:rPr>
                <w:sz w:val="20"/>
              </w:rPr>
              <w:t>Fresh TAVV issued per transaction</w:t>
            </w:r>
          </w:p>
        </w:tc>
      </w:tr>
      <w:tr>
        <w:tc>
          <w:tcPr>
            <w:tcW w:type="dxa" w:w="3041"/>
          </w:tcPr>
          <w:p>
            <w:r>
              <w:rPr>
                <w:sz w:val="20"/>
              </w:rPr>
              <w:t>Account update</w:t>
            </w:r>
          </w:p>
        </w:tc>
        <w:tc>
          <w:tcPr>
            <w:tcW w:type="dxa" w:w="3041"/>
          </w:tcPr>
          <w:p>
            <w:r>
              <w:rPr>
                <w:sz w:val="20"/>
              </w:rPr>
              <w:t>Card renewal / reissuance by issuer</w:t>
            </w:r>
          </w:p>
        </w:tc>
        <w:tc>
          <w:tcPr>
            <w:tcW w:type="dxa" w:w="3041"/>
          </w:tcPr>
          <w:p>
            <w:r>
              <w:rPr>
                <w:sz w:val="20"/>
              </w:rPr>
              <w:t>TSP silently updates FPAN mapping; DPAN unchanged</w:t>
            </w:r>
          </w:p>
        </w:tc>
      </w:tr>
      <w:tr>
        <w:tc>
          <w:tcPr>
            <w:tcW w:type="dxa" w:w="3041"/>
          </w:tcPr>
          <w:p>
            <w:r>
              <w:rPr>
                <w:sz w:val="20"/>
              </w:rPr>
              <w:t>Suspension</w:t>
            </w:r>
          </w:p>
        </w:tc>
        <w:tc>
          <w:tcPr>
            <w:tcW w:type="dxa" w:w="3041"/>
          </w:tcPr>
          <w:p>
            <w:r>
              <w:rPr>
                <w:sz w:val="20"/>
              </w:rPr>
              <w:t>Fraud signal or merchant request</w:t>
            </w:r>
          </w:p>
        </w:tc>
        <w:tc>
          <w:tcPr>
            <w:tcW w:type="dxa" w:w="3041"/>
          </w:tcPr>
          <w:p>
            <w:r>
              <w:rPr>
                <w:sz w:val="20"/>
              </w:rPr>
              <w:t>Token becomes unusable; authorisations declined</w:t>
            </w:r>
          </w:p>
        </w:tc>
      </w:tr>
      <w:tr>
        <w:tc>
          <w:tcPr>
            <w:tcW w:type="dxa" w:w="3041"/>
          </w:tcPr>
          <w:p>
            <w:r>
              <w:rPr>
                <w:sz w:val="20"/>
              </w:rPr>
              <w:t>Deletion / expiry</w:t>
            </w:r>
          </w:p>
        </w:tc>
        <w:tc>
          <w:tcPr>
            <w:tcW w:type="dxa" w:w="3041"/>
          </w:tcPr>
          <w:p>
            <w:r>
              <w:rPr>
                <w:sz w:val="20"/>
              </w:rPr>
              <w:t>Merchant de-enrolment or token TTL</w:t>
            </w:r>
          </w:p>
        </w:tc>
        <w:tc>
          <w:tcPr>
            <w:tcW w:type="dxa" w:w="3041"/>
          </w:tcPr>
          <w:p>
            <w:r>
              <w:rPr>
                <w:sz w:val="20"/>
              </w:rPr>
              <w:t>Mapping removed from TSP</w:t>
            </w:r>
          </w:p>
        </w:tc>
      </w:tr>
    </w:tbl>
    <w:p/>
    <w:p>
      <w:pPr>
        <w:pStyle w:val="Heading2"/>
      </w:pPr>
      <w:r>
        <w:rPr>
          <w:b/>
          <w:color w:val="0047AB"/>
          <w:sz w:val="28"/>
        </w:rPr>
        <w:t>5.3  Data Flow (Conceptual)</w:t>
      </w:r>
    </w:p>
    <w:p>
      <w:pPr>
        <w:ind w:left="432"/>
      </w:pPr>
      <w:r>
        <w:rPr>
          <w:rFonts w:ascii="Courier New" w:hAnsi="Courier New"/>
          <w:sz w:val="20"/>
        </w:rPr>
        <w:t>[Cardholder]  --&gt;  PAN  --&gt;  [Merchant Back-End / CyberSource]</w:t>
        <w:br/>
        <w:t xml:space="preserve">                                        |</w:t>
        <w:br/>
        <w:t xml:space="preserve">                          Instrument Identifier API (POST)</w:t>
        <w:br/>
        <w:t xml:space="preserve">                                        |</w:t>
        <w:br/>
        <w:t xml:space="preserve">                               [TSP / Card Network]</w:t>
        <w:br/>
        <w:t xml:space="preserve">                                        |</w:t>
        <w:br/>
        <w:t xml:space="preserve">                         DPAN (Instrument ID) returned</w:t>
        <w:br/>
        <w:t xml:space="preserve">                                        |</w:t>
        <w:br/>
        <w:t xml:space="preserve">                     Stored in MongoDB (TokenStorage)</w:t>
        <w:br/>
        <w:t xml:space="preserve">                                        |</w:t>
        <w:br/>
        <w:t xml:space="preserve">                          At transaction time:</w:t>
        <w:br/>
        <w:t xml:space="preserve">               Payment Credentials API (GET) --&gt; DPAN + Cryptogram</w:t>
        <w:br/>
        <w:t xml:space="preserve">                                        |</w:t>
        <w:br/>
        <w:t xml:space="preserve">                 [Acquirer]  --&gt;  [Network]  --&gt;  [Issuer]</w:t>
        <w:br/>
        <w:t xml:space="preserve">                                        |</w:t>
        <w:br/>
        <w:t xml:space="preserve">                            Authorisation Response</w:t>
      </w:r>
    </w:p>
    <w:p>
      <w:r>
        <w:br w:type="page"/>
      </w:r>
    </w:p>
    <w:p>
      <w:pPr>
        <w:pStyle w:val="Heading1"/>
      </w:pPr>
      <w:r>
        <w:rPr>
          <w:b/>
          <w:color w:val="0047AB"/>
          <w:sz w:val="36"/>
        </w:rPr>
        <w:t>6.  Components of the Reference Implementation</w:t>
      </w:r>
    </w:p>
    <w:p>
      <w:r>
        <w:rPr>
          <w:rFonts w:ascii="Calibri" w:hAnsi="Calibri"/>
          <w:sz w:val="22"/>
        </w:rPr>
        <w:t>The cybersource-network-token project provides a Spring Boot microservice that orchestrates the full provisioning and credential-retrieval flow. The following describes each component.</w:t>
      </w:r>
    </w:p>
    <w:p>
      <w:pPr>
        <w:pStyle w:val="Heading2"/>
      </w:pPr>
      <w:r>
        <w:rPr>
          <w:b/>
          <w:color w:val="0047AB"/>
          <w:sz w:val="28"/>
        </w:rPr>
        <w:t>6.1  Controller Layer</w:t>
      </w:r>
    </w:p>
    <w:tbl>
      <w:tblPr>
        <w:tblStyle w:val="LightShading-Accent1"/>
        <w:tblW w:type="auto" w:w="0"/>
        <w:tblLook w:firstColumn="1" w:firstRow="1" w:lastColumn="0" w:lastRow="0" w:noHBand="0" w:noVBand="1" w:val="04A0"/>
      </w:tblPr>
      <w:tblGrid>
        <w:gridCol w:w="3041"/>
        <w:gridCol w:w="3041"/>
        <w:gridCol w:w="3041"/>
      </w:tblGrid>
      <w:tr>
        <w:tc>
          <w:tcPr>
            <w:tcW w:type="dxa" w:w="3041"/>
          </w:tcPr>
          <w:p>
            <w:r>
              <w:rPr>
                <w:b/>
                <w:sz w:val="20"/>
              </w:rPr>
              <w:t>Controller</w:t>
            </w:r>
          </w:p>
        </w:tc>
        <w:tc>
          <w:tcPr>
            <w:tcW w:type="dxa" w:w="3041"/>
          </w:tcPr>
          <w:p>
            <w:r>
              <w:rPr>
                <w:b/>
                <w:sz w:val="20"/>
              </w:rPr>
              <w:t>Endpoint</w:t>
            </w:r>
          </w:p>
        </w:tc>
        <w:tc>
          <w:tcPr>
            <w:tcW w:type="dxa" w:w="3041"/>
          </w:tcPr>
          <w:p>
            <w:r>
              <w:rPr>
                <w:b/>
                <w:sz w:val="20"/>
              </w:rPr>
              <w:t>Purpose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CybersourceController</w:t>
            </w:r>
          </w:p>
        </w:tc>
        <w:tc>
          <w:tcPr>
            <w:tcW w:type="dxa" w:w="3041"/>
          </w:tcPr>
          <w:p>
            <w:r>
              <w:rPr>
                <w:sz w:val="20"/>
              </w:rPr>
              <w:t>POST /cybersource/instrument-identifier</w:t>
            </w:r>
          </w:p>
        </w:tc>
        <w:tc>
          <w:tcPr>
            <w:tcW w:type="dxa" w:w="3041"/>
          </w:tcPr>
          <w:p>
            <w:r>
              <w:rPr>
                <w:sz w:val="20"/>
              </w:rPr>
              <w:t>Accepts PAN + merchantId; delegates to InstrumentIdentifierService; returns raw API JSON.</w:t>
            </w:r>
          </w:p>
        </w:tc>
      </w:tr>
      <w:tr>
        <w:tc>
          <w:tcPr>
            <w:tcW w:type="dxa" w:w="3041"/>
          </w:tcPr>
          <w:p>
            <w:r>
              <w:rPr>
                <w:sz w:val="20"/>
              </w:rPr>
              <w:t>CybersourceController</w:t>
            </w:r>
          </w:p>
        </w:tc>
        <w:tc>
          <w:tcPr>
            <w:tcW w:type="dxa" w:w="3041"/>
          </w:tcPr>
          <w:p>
            <w:r>
              <w:rPr>
                <w:sz w:val="20"/>
              </w:rPr>
              <w:t>GET /cybersource/instrument-identifier/{tokenId}</w:t>
            </w:r>
          </w:p>
        </w:tc>
        <w:tc>
          <w:tcPr>
            <w:tcW w:type="dxa" w:w="3041"/>
          </w:tcPr>
          <w:p>
            <w:r>
              <w:rPr>
                <w:sz w:val="20"/>
              </w:rPr>
              <w:t>Retrieves an existing instrument identifier by its token ID.</w:t>
            </w:r>
          </w:p>
        </w:tc>
      </w:tr>
      <w:tr>
        <w:tc>
          <w:tcPr>
            <w:tcW w:type="dxa" w:w="3041"/>
          </w:tcPr>
          <w:p>
            <w:r>
              <w:rPr>
                <w:sz w:val="20"/>
              </w:rPr>
              <w:t>CybersourceController</w:t>
            </w:r>
          </w:p>
        </w:tc>
        <w:tc>
          <w:tcPr>
            <w:tcW w:type="dxa" w:w="3041"/>
          </w:tcPr>
          <w:p>
            <w:r>
              <w:rPr>
                <w:sz w:val="20"/>
              </w:rPr>
              <w:t>GET /cybersource/payment-credentials/{tokenId}</w:t>
            </w:r>
          </w:p>
        </w:tc>
        <w:tc>
          <w:tcPr>
            <w:tcW w:type="dxa" w:w="3041"/>
          </w:tcPr>
          <w:p>
            <w:r>
              <w:rPr>
                <w:sz w:val="20"/>
              </w:rPr>
              <w:t>Retrieves a fresh DPAN + cryptogram for a given instrument identifier.</w:t>
            </w:r>
          </w:p>
        </w:tc>
      </w:tr>
      <w:tr>
        <w:tc>
          <w:tcPr>
            <w:tcW w:type="dxa" w:w="3041"/>
          </w:tcPr>
          <w:p>
            <w:r>
              <w:rPr>
                <w:sz w:val="20"/>
              </w:rPr>
              <w:t>NetworkTokenController</w:t>
            </w:r>
          </w:p>
        </w:tc>
        <w:tc>
          <w:tcPr>
            <w:tcW w:type="dxa" w:w="3041"/>
          </w:tcPr>
          <w:p>
            <w:r>
              <w:rPr>
                <w:sz w:val="20"/>
              </w:rPr>
              <w:t>POST /network-token</w:t>
            </w:r>
          </w:p>
        </w:tc>
        <w:tc>
          <w:tcPr>
            <w:tcW w:type="dxa" w:w="3041"/>
          </w:tcPr>
          <w:p>
            <w:r>
              <w:rPr>
                <w:sz w:val="20"/>
              </w:rPr>
              <w:t>Convenience end-point: accepts PAN + merchantId, orchestrates both steps, returns final NetworkTokenResult (networkToken, cryptogram, elapsedMs).</w:t>
            </w:r>
          </w:p>
        </w:tc>
      </w:tr>
    </w:tbl>
    <w:p/>
    <w:p>
      <w:pPr>
        <w:pStyle w:val="Heading2"/>
      </w:pPr>
      <w:r>
        <w:rPr>
          <w:b/>
          <w:color w:val="0047AB"/>
          <w:sz w:val="28"/>
        </w:rPr>
        <w:t>6.2  Service Layer</w:t>
      </w:r>
    </w:p>
    <w:p>
      <w:pPr>
        <w:pStyle w:val="ListBullet"/>
        <w:ind w:left="432"/>
      </w:pPr>
      <w:r>
        <w:rPr>
          <w:rFonts w:ascii="Calibri" w:hAnsi="Calibri"/>
          <w:sz w:val="22"/>
        </w:rPr>
        <w:t>InstrumentIdentifierService -- Creates and retrieves instrument identifiers via CyberSource REST API, using JWT-signed requests. Handles WebClientResponseException, WebClientException and unexpected errors with a typed exception hierarchy.</w:t>
      </w:r>
    </w:p>
    <w:p>
      <w:pPr>
        <w:pStyle w:val="ListBullet"/>
        <w:ind w:left="432"/>
      </w:pPr>
      <w:r>
        <w:rPr>
          <w:rFonts w:ascii="Calibri" w:hAnsi="Calibri"/>
          <w:sz w:val="22"/>
        </w:rPr>
        <w:t>PaymentCredentialsService -- Retrieves payment credentials (DPAN + cryptogram) and persists the result to MongoDB via TokenStorageRepository. Also exposes a query method (getTokenStorageByPaymentTokenId).</w:t>
      </w:r>
    </w:p>
    <w:p>
      <w:pPr>
        <w:pStyle w:val="ListBullet"/>
        <w:ind w:left="432"/>
      </w:pPr>
      <w:r>
        <w:rPr>
          <w:rFonts w:ascii="Calibri" w:hAnsi="Calibri"/>
          <w:sz w:val="22"/>
        </w:rPr>
        <w:t>NetworkTokenService -- Orchestrator: calls InstrumentIdentifierService then PaymentCredentialsService, measures end-to-end latency, and returns a typed NetworkTokenResult record.</w:t>
      </w:r>
    </w:p>
    <w:p>
      <w:pPr>
        <w:pStyle w:val="ListBullet"/>
        <w:ind w:left="432"/>
      </w:pPr>
      <w:r>
        <w:rPr>
          <w:rFonts w:ascii="Calibri" w:hAnsi="Calibri"/>
          <w:sz w:val="22"/>
        </w:rPr>
        <w:t>JwtTokenUtil -- Generates per-request JWT tokens incorporating merchantId, API key, secret, HTTP method, and path, satisfying CyberSource signature requirements.</w:t>
      </w:r>
    </w:p>
    <w:p>
      <w:pPr>
        <w:pStyle w:val="Heading2"/>
      </w:pPr>
      <w:r>
        <w:rPr>
          <w:b/>
          <w:color w:val="0047AB"/>
          <w:sz w:val="28"/>
        </w:rPr>
        <w:t>6.3  Data Layer</w:t>
      </w:r>
    </w:p>
    <w:p>
      <w:pPr>
        <w:pStyle w:val="ListBullet"/>
        <w:ind w:left="432"/>
      </w:pPr>
      <w:r>
        <w:rPr>
          <w:rFonts w:ascii="Calibri" w:hAnsi="Calibri"/>
          <w:sz w:val="22"/>
        </w:rPr>
        <w:t>TokenStorage Entity -- MongoDB document with fields: paymentTokenId (unique index), cryptogram, merchantId, metadata (Map&lt;String,Object&gt;), createdAt, updatedAt.</w:t>
      </w:r>
    </w:p>
    <w:p>
      <w:pPr>
        <w:pStyle w:val="ListBullet"/>
        <w:ind w:left="432"/>
      </w:pPr>
      <w:r>
        <w:rPr>
          <w:rFonts w:ascii="Calibri" w:hAnsi="Calibri"/>
          <w:sz w:val="22"/>
        </w:rPr>
        <w:t>TokenStorageRepository -- Spring Data MongoDB repository with queries: findByPaymentTokenId, findByMerchantId, existsByPaymentTokenId, findByMerchantIdAndCryptogram.</w:t>
      </w:r>
    </w:p>
    <w:p>
      <w:pPr>
        <w:pStyle w:val="Heading2"/>
      </w:pPr>
      <w:r>
        <w:rPr>
          <w:b/>
          <w:color w:val="0047AB"/>
          <w:sz w:val="28"/>
        </w:rPr>
        <w:t>6.4  Configuration and Infrastructure</w:t>
      </w:r>
    </w:p>
    <w:p>
      <w:pPr>
        <w:pStyle w:val="ListBullet"/>
        <w:ind w:left="432"/>
      </w:pPr>
      <w:r>
        <w:rPr>
          <w:rFonts w:ascii="Calibri" w:hAnsi="Calibri"/>
          <w:sz w:val="22"/>
        </w:rPr>
        <w:t>CybersourceConfig -- Externalises baseUrl, apiKey, secretKey, and merchantId; consumed by service layer.</w:t>
      </w:r>
    </w:p>
    <w:p>
      <w:pPr>
        <w:pStyle w:val="ListBullet"/>
        <w:ind w:left="432"/>
      </w:pPr>
      <w:r>
        <w:rPr>
          <w:rFonts w:ascii="Calibri" w:hAnsi="Calibri"/>
          <w:sz w:val="22"/>
        </w:rPr>
        <w:t>WebClientConfig -- Configures a Spring WebFlux WebClient bean with appropriate timeouts and codec settings.</w:t>
      </w:r>
    </w:p>
    <w:p>
      <w:pPr>
        <w:pStyle w:val="ListBullet"/>
        <w:ind w:left="432"/>
      </w:pPr>
      <w:r>
        <w:rPr>
          <w:rFonts w:ascii="Calibri" w:hAnsi="Calibri"/>
          <w:sz w:val="22"/>
        </w:rPr>
        <w:t>Spring Boot Actuator -- Provides /actuator/health and /actuator/info endpoints for operational monitoring.</w:t>
      </w:r>
    </w:p>
    <w:p>
      <w:pPr>
        <w:pStyle w:val="Heading2"/>
      </w:pPr>
      <w:r>
        <w:rPr>
          <w:b/>
          <w:color w:val="0047AB"/>
          <w:sz w:val="28"/>
        </w:rPr>
        <w:t>6.5  Exception Hierarchy</w:t>
      </w:r>
    </w:p>
    <w:tbl>
      <w:tblPr>
        <w:tblStyle w:val="LightShading-Accent1"/>
        <w:tblW w:type="auto" w:w="0"/>
        <w:tblLook w:firstColumn="1" w:firstRow="1" w:lastColumn="0" w:lastRow="0" w:noHBand="0" w:noVBand="1" w:val="04A0"/>
      </w:tblPr>
      <w:tblGrid>
        <w:gridCol w:w="4561"/>
        <w:gridCol w:w="4561"/>
      </w:tblGrid>
      <w:tr>
        <w:tc>
          <w:tcPr>
            <w:tcW w:type="dxa" w:w="4561"/>
          </w:tcPr>
          <w:p>
            <w:r>
              <w:rPr>
                <w:b/>
                <w:sz w:val="20"/>
              </w:rPr>
              <w:t>Exception</w:t>
            </w:r>
          </w:p>
        </w:tc>
        <w:tc>
          <w:tcPr>
            <w:tcW w:type="dxa" w:w="4561"/>
          </w:tcPr>
          <w:p>
            <w:r>
              <w:rPr>
                <w:b/>
                <w:sz w:val="20"/>
              </w:rPr>
              <w:t>Trigger Scenario</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CybersourceException</w:t>
            </w:r>
          </w:p>
        </w:tc>
        <w:tc>
          <w:tcPr>
            <w:tcW w:type="dxa" w:w="4561"/>
          </w:tcPr>
          <w:p>
            <w:r>
              <w:rPr>
                <w:sz w:val="20"/>
              </w:rPr>
              <w:t>Base class; catches unclassified errors.</w:t>
            </w:r>
          </w:p>
        </w:tc>
      </w:tr>
      <w:tr>
        <w:tc>
          <w:tcPr>
            <w:tcW w:type="dxa" w:w="4561"/>
          </w:tcPr>
          <w:p>
            <w:r>
              <w:rPr>
                <w:sz w:val="20"/>
              </w:rPr>
              <w:t>CybersourceApiException</w:t>
            </w:r>
          </w:p>
        </w:tc>
        <w:tc>
          <w:tcPr>
            <w:tcW w:type="dxa" w:w="4561"/>
          </w:tcPr>
          <w:p>
            <w:r>
              <w:rPr>
                <w:sz w:val="20"/>
              </w:rPr>
              <w:t>CyberSource API returns an HTTP 4xx/5xx. Carries statusCode and responseBody.</w:t>
            </w:r>
          </w:p>
        </w:tc>
      </w:tr>
      <w:tr>
        <w:tc>
          <w:tcPr>
            <w:tcW w:type="dxa" w:w="4561"/>
          </w:tcPr>
          <w:p>
            <w:r>
              <w:rPr>
                <w:sz w:val="20"/>
              </w:rPr>
              <w:t>NetworkException</w:t>
            </w:r>
          </w:p>
        </w:tc>
        <w:tc>
          <w:tcPr>
            <w:tcW w:type="dxa" w:w="4561"/>
          </w:tcPr>
          <w:p>
            <w:r>
              <w:rPr>
                <w:sz w:val="20"/>
              </w:rPr>
              <w:t>WebClient connectivity failure (timeout, DNS, TLS).</w:t>
            </w:r>
          </w:p>
        </w:tc>
      </w:tr>
      <w:tr>
        <w:tc>
          <w:tcPr>
            <w:tcW w:type="dxa" w:w="4561"/>
          </w:tcPr>
          <w:p>
            <w:r>
              <w:rPr>
                <w:sz w:val="20"/>
              </w:rPr>
              <w:t>DataAccessException</w:t>
            </w:r>
          </w:p>
        </w:tc>
        <w:tc>
          <w:tcPr>
            <w:tcW w:type="dxa" w:w="4561"/>
          </w:tcPr>
          <w:p>
            <w:r>
              <w:rPr>
                <w:sz w:val="20"/>
              </w:rPr>
              <w:t>MongoDB read/write failure.</w:t>
            </w:r>
          </w:p>
        </w:tc>
      </w:tr>
      <w:tr>
        <w:tc>
          <w:tcPr>
            <w:tcW w:type="dxa" w:w="4561"/>
          </w:tcPr>
          <w:p>
            <w:r>
              <w:rPr>
                <w:sz w:val="20"/>
              </w:rPr>
              <w:t>PaymentCredentialsException</w:t>
            </w:r>
          </w:p>
        </w:tc>
        <w:tc>
          <w:tcPr>
            <w:tcW w:type="dxa" w:w="4561"/>
          </w:tcPr>
          <w:p>
            <w:r>
              <w:rPr>
                <w:sz w:val="20"/>
              </w:rPr>
              <w:t>Business-logic failure in credentials retrieval (e.g. JWT generation failure).</w:t>
            </w:r>
          </w:p>
        </w:tc>
      </w:tr>
    </w:tbl>
    <w:p/>
    <w:p>
      <w:pPr>
        <w:pStyle w:val="Heading2"/>
      </w:pPr>
      <w:r>
        <w:rPr>
          <w:b/>
          <w:color w:val="0047AB"/>
          <w:sz w:val="28"/>
        </w:rPr>
        <w:t>6.6  Technology Stack</w:t>
      </w:r>
    </w:p>
    <w:tbl>
      <w:tblPr>
        <w:tblStyle w:val="LightShading-Accent1"/>
        <w:tblW w:type="auto" w:w="0"/>
        <w:tblLook w:firstColumn="1" w:firstRow="1" w:lastColumn="0" w:lastRow="0" w:noHBand="0" w:noVBand="1" w:val="04A0"/>
      </w:tblPr>
      <w:tblGrid>
        <w:gridCol w:w="3041"/>
        <w:gridCol w:w="3041"/>
        <w:gridCol w:w="3041"/>
      </w:tblGrid>
      <w:tr>
        <w:tc>
          <w:tcPr>
            <w:tcW w:type="dxa" w:w="3041"/>
          </w:tcPr>
          <w:p>
            <w:r>
              <w:rPr>
                <w:b/>
                <w:sz w:val="20"/>
              </w:rPr>
              <w:t>Technology</w:t>
            </w:r>
          </w:p>
        </w:tc>
        <w:tc>
          <w:tcPr>
            <w:tcW w:type="dxa" w:w="3041"/>
          </w:tcPr>
          <w:p>
            <w:r>
              <w:rPr>
                <w:b/>
                <w:sz w:val="20"/>
              </w:rPr>
              <w:t>Version</w:t>
            </w:r>
          </w:p>
        </w:tc>
        <w:tc>
          <w:tcPr>
            <w:tcW w:type="dxa" w:w="3041"/>
          </w:tcPr>
          <w:p>
            <w:r>
              <w:rPr>
                <w:b/>
                <w:sz w:val="20"/>
              </w:rPr>
              <w:t>Purpose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Java</w:t>
            </w:r>
          </w:p>
        </w:tc>
        <w:tc>
          <w:tcPr>
            <w:tcW w:type="dxa" w:w="3041"/>
          </w:tcPr>
          <w:p>
            <w:r>
              <w:rPr>
                <w:sz w:val="20"/>
              </w:rPr>
              <w:t>17</w:t>
            </w:r>
          </w:p>
        </w:tc>
        <w:tc>
          <w:tcPr>
            <w:tcW w:type="dxa" w:w="3041"/>
          </w:tcPr>
          <w:p>
            <w:r>
              <w:rPr>
                <w:sz w:val="20"/>
              </w:rPr>
              <w:t>Primary language; record types used for NetworkTokenResult.</w:t>
            </w:r>
          </w:p>
        </w:tc>
      </w:tr>
      <w:tr>
        <w:tc>
          <w:tcPr>
            <w:tcW w:type="dxa" w:w="3041"/>
          </w:tcPr>
          <w:p>
            <w:r>
              <w:rPr>
                <w:sz w:val="20"/>
              </w:rPr>
              <w:t>Spring Boot</w:t>
            </w:r>
          </w:p>
        </w:tc>
        <w:tc>
          <w:tcPr>
            <w:tcW w:type="dxa" w:w="3041"/>
          </w:tcPr>
          <w:p>
            <w:r>
              <w:rPr>
                <w:sz w:val="20"/>
              </w:rPr>
              <w:t>3.5.x</w:t>
            </w:r>
          </w:p>
        </w:tc>
        <w:tc>
          <w:tcPr>
            <w:tcW w:type="dxa" w:w="3041"/>
          </w:tcPr>
          <w:p>
            <w:r>
              <w:rPr>
                <w:sz w:val="20"/>
              </w:rPr>
              <w:t>Application framework; web, webflux, data-mongodb, actuator.</w:t>
            </w:r>
          </w:p>
        </w:tc>
      </w:tr>
      <w:tr>
        <w:tc>
          <w:tcPr>
            <w:tcW w:type="dxa" w:w="3041"/>
          </w:tcPr>
          <w:p>
            <w:r>
              <w:rPr>
                <w:sz w:val="20"/>
              </w:rPr>
              <w:t>Spring WebFlux / WebClient</w:t>
            </w:r>
          </w:p>
        </w:tc>
        <w:tc>
          <w:tcPr>
            <w:tcW w:type="dxa" w:w="3041"/>
          </w:tcPr>
          <w:p>
            <w:r>
              <w:rPr>
                <w:sz w:val="20"/>
              </w:rPr>
              <w:t>6.x</w:t>
            </w:r>
          </w:p>
        </w:tc>
        <w:tc>
          <w:tcPr>
            <w:tcW w:type="dxa" w:w="3041"/>
          </w:tcPr>
          <w:p>
            <w:r>
              <w:rPr>
                <w:sz w:val="20"/>
              </w:rPr>
              <w:t>Reactive, non-blocking HTTP client for CyberSource API calls.</w:t>
            </w:r>
          </w:p>
        </w:tc>
      </w:tr>
      <w:tr>
        <w:tc>
          <w:tcPr>
            <w:tcW w:type="dxa" w:w="3041"/>
          </w:tcPr>
          <w:p>
            <w:r>
              <w:rPr>
                <w:sz w:val="20"/>
              </w:rPr>
              <w:t>CyberSource REST SDK</w:t>
            </w:r>
          </w:p>
        </w:tc>
        <w:tc>
          <w:tcPr>
            <w:tcW w:type="dxa" w:w="3041"/>
          </w:tcPr>
          <w:p>
            <w:r>
              <w:rPr>
                <w:sz w:val="20"/>
              </w:rPr>
              <w:t>0.0.79</w:t>
            </w:r>
          </w:p>
        </w:tc>
        <w:tc>
          <w:tcPr>
            <w:tcW w:type="dxa" w:w="3041"/>
          </w:tcPr>
          <w:p>
            <w:r>
              <w:rPr>
                <w:sz w:val="20"/>
              </w:rPr>
              <w:t>Authentication utilities and API model types.</w:t>
            </w:r>
          </w:p>
        </w:tc>
      </w:tr>
      <w:tr>
        <w:tc>
          <w:tcPr>
            <w:tcW w:type="dxa" w:w="3041"/>
          </w:tcPr>
          <w:p>
            <w:r>
              <w:rPr>
                <w:sz w:val="20"/>
              </w:rPr>
              <w:t>Auth0 java-jwt</w:t>
            </w:r>
          </w:p>
        </w:tc>
        <w:tc>
          <w:tcPr>
            <w:tcW w:type="dxa" w:w="3041"/>
          </w:tcPr>
          <w:p>
            <w:r>
              <w:rPr>
                <w:sz w:val="20"/>
              </w:rPr>
              <w:t>4.4.0</w:t>
            </w:r>
          </w:p>
        </w:tc>
        <w:tc>
          <w:tcPr>
            <w:tcW w:type="dxa" w:w="3041"/>
          </w:tcPr>
          <w:p>
            <w:r>
              <w:rPr>
                <w:sz w:val="20"/>
              </w:rPr>
              <w:t>JWT generation for per-request API signatures.</w:t>
            </w:r>
          </w:p>
        </w:tc>
      </w:tr>
      <w:tr>
        <w:tc>
          <w:tcPr>
            <w:tcW w:type="dxa" w:w="3041"/>
          </w:tcPr>
          <w:p>
            <w:r>
              <w:rPr>
                <w:sz w:val="20"/>
              </w:rPr>
              <w:t>Bouncy Castle</w:t>
            </w:r>
          </w:p>
        </w:tc>
        <w:tc>
          <w:tcPr>
            <w:tcW w:type="dxa" w:w="3041"/>
          </w:tcPr>
          <w:p>
            <w:r>
              <w:rPr>
                <w:sz w:val="20"/>
              </w:rPr>
              <w:t>1.78.1</w:t>
            </w:r>
          </w:p>
        </w:tc>
        <w:tc>
          <w:tcPr>
            <w:tcW w:type="dxa" w:w="3041"/>
          </w:tcPr>
          <w:p>
            <w:r>
              <w:rPr>
                <w:sz w:val="20"/>
              </w:rPr>
              <w:t>RSA/ECDSA key operations for JWT signing.</w:t>
            </w:r>
          </w:p>
        </w:tc>
      </w:tr>
      <w:tr>
        <w:tc>
          <w:tcPr>
            <w:tcW w:type="dxa" w:w="3041"/>
          </w:tcPr>
          <w:p>
            <w:r>
              <w:rPr>
                <w:sz w:val="20"/>
              </w:rPr>
              <w:t>Spring Data MongoDB</w:t>
            </w:r>
          </w:p>
        </w:tc>
        <w:tc>
          <w:tcPr>
            <w:tcW w:type="dxa" w:w="3041"/>
          </w:tcPr>
          <w:p>
            <w:r>
              <w:rPr>
                <w:sz w:val="20"/>
              </w:rPr>
              <w:t>4.x</w:t>
            </w:r>
          </w:p>
        </w:tc>
        <w:tc>
          <w:tcPr>
            <w:tcW w:type="dxa" w:w="3041"/>
          </w:tcPr>
          <w:p>
            <w:r>
              <w:rPr>
                <w:sz w:val="20"/>
              </w:rPr>
              <w:t>ORM layer for TokenStorage persistence.</w:t>
            </w:r>
          </w:p>
        </w:tc>
      </w:tr>
      <w:tr>
        <w:tc>
          <w:tcPr>
            <w:tcW w:type="dxa" w:w="3041"/>
          </w:tcPr>
          <w:p>
            <w:r>
              <w:rPr>
                <w:sz w:val="20"/>
              </w:rPr>
              <w:t>JUnit 5 + Mockito</w:t>
            </w:r>
          </w:p>
        </w:tc>
        <w:tc>
          <w:tcPr>
            <w:tcW w:type="dxa" w:w="3041"/>
          </w:tcPr>
          <w:p>
            <w:r>
              <w:rPr>
                <w:sz w:val="20"/>
              </w:rPr>
              <w:t>Latest</w:t>
            </w:r>
          </w:p>
        </w:tc>
        <w:tc>
          <w:tcPr>
            <w:tcW w:type="dxa" w:w="3041"/>
          </w:tcPr>
          <w:p>
            <w:r>
              <w:rPr>
                <w:sz w:val="20"/>
              </w:rPr>
              <w:t>Unit testing (40+ tests across all service classes).</w:t>
            </w:r>
          </w:p>
        </w:tc>
      </w:tr>
      <w:tr>
        <w:tc>
          <w:tcPr>
            <w:tcW w:type="dxa" w:w="3041"/>
          </w:tcPr>
          <w:p>
            <w:r>
              <w:rPr>
                <w:sz w:val="20"/>
              </w:rPr>
              <w:t>Testcontainers</w:t>
            </w:r>
          </w:p>
        </w:tc>
        <w:tc>
          <w:tcPr>
            <w:tcW w:type="dxa" w:w="3041"/>
          </w:tcPr>
          <w:p>
            <w:r>
              <w:rPr>
                <w:sz w:val="20"/>
              </w:rPr>
              <w:t>Latest</w:t>
            </w:r>
          </w:p>
        </w:tc>
        <w:tc>
          <w:tcPr>
            <w:tcW w:type="dxa" w:w="3041"/>
          </w:tcPr>
          <w:p>
            <w:r>
              <w:rPr>
                <w:sz w:val="20"/>
              </w:rPr>
              <w:t>MongoDB integration-test infrastructure.</w:t>
            </w:r>
          </w:p>
        </w:tc>
      </w:tr>
    </w:tbl>
    <w:p/>
    <w:p>
      <w:r>
        <w:br w:type="page"/>
      </w:r>
    </w:p>
    <w:p>
      <w:pPr>
        <w:pStyle w:val="Heading1"/>
      </w:pPr>
      <w:r>
        <w:rPr>
          <w:b/>
          <w:color w:val="0047AB"/>
          <w:sz w:val="36"/>
        </w:rPr>
        <w:t>7.  Risks and Challenges</w:t>
      </w:r>
    </w:p>
    <w:p>
      <w:pPr>
        <w:pStyle w:val="Heading2"/>
      </w:pPr>
      <w:r>
        <w:rPr>
          <w:b/>
          <w:color w:val="0047AB"/>
          <w:sz w:val="28"/>
        </w:rPr>
        <w:t>7.1  Technical Risks</w:t>
      </w:r>
    </w:p>
    <w:p>
      <w:pPr>
        <w:pStyle w:val="ListBullet"/>
        <w:ind w:left="432"/>
      </w:pPr>
      <w:r>
        <w:rPr>
          <w:rFonts w:ascii="Calibri" w:hAnsi="Calibri"/>
          <w:sz w:val="22"/>
        </w:rPr>
        <w:t>Cryptogram Expiry and Single-Use Constraint</w:t>
      </w:r>
    </w:p>
    <w:p>
      <w:pPr>
        <w:pStyle w:val="ListBullet"/>
        <w:ind w:left="864"/>
      </w:pPr>
      <w:r>
        <w:rPr>
          <w:rFonts w:ascii="Calibri" w:hAnsi="Calibri"/>
          <w:sz w:val="22"/>
        </w:rPr>
        <w:t>Cryptograms are single-use and typically expire within seconds to minutes. Any retry mechanism must request a fresh cryptogram rather than replay a cached one. Failure to handle this will cause elevated decline rates.</w:t>
      </w:r>
    </w:p>
    <w:p>
      <w:pPr>
        <w:pStyle w:val="ListBullet"/>
        <w:ind w:left="432"/>
      </w:pPr>
      <w:r>
        <w:rPr>
          <w:rFonts w:ascii="Calibri" w:hAnsi="Calibri"/>
          <w:sz w:val="22"/>
        </w:rPr>
        <w:t>Token Provisioning Latency</w:t>
      </w:r>
    </w:p>
    <w:p>
      <w:pPr>
        <w:pStyle w:val="ListBullet"/>
        <w:ind w:left="864"/>
      </w:pPr>
      <w:r>
        <w:rPr>
          <w:rFonts w:ascii="Calibri" w:hAnsi="Calibri"/>
          <w:sz w:val="22"/>
        </w:rPr>
        <w:t>The two-step flow (create instrument identifier then retrieve payment credentials) adds latency versus a direct PAN authorisation. The reference implementation measures this via elapsedMilliseconds in NetworkTokenResult. At scale, this latency must be optimised through caching of the stable DPAN and on-demand cryptogram generation.</w:t>
      </w:r>
    </w:p>
    <w:p>
      <w:pPr>
        <w:pStyle w:val="ListBullet"/>
        <w:ind w:left="432"/>
      </w:pPr>
      <w:r>
        <w:rPr>
          <w:rFonts w:ascii="Calibri" w:hAnsi="Calibri"/>
          <w:sz w:val="22"/>
        </w:rPr>
        <w:t>JWT Token Security</w:t>
      </w:r>
    </w:p>
    <w:p>
      <w:pPr>
        <w:pStyle w:val="ListBullet"/>
        <w:ind w:left="864"/>
      </w:pPr>
      <w:r>
        <w:rPr>
          <w:rFonts w:ascii="Calibri" w:hAnsi="Calibri"/>
          <w:sz w:val="22"/>
        </w:rPr>
        <w:t>The current implementation generates per-request JWTs using API key and secret stored in application configuration. These credentials must be rotated regularly, stored in a secrets manager (e.g. AWS Secrets Manager, HashiCorp Vault), and never committed to source control.</w:t>
      </w:r>
    </w:p>
    <w:p>
      <w:pPr>
        <w:pStyle w:val="ListBullet"/>
        <w:ind w:left="432"/>
      </w:pPr>
      <w:r>
        <w:rPr>
          <w:rFonts w:ascii="Calibri" w:hAnsi="Calibri"/>
          <w:sz w:val="22"/>
        </w:rPr>
        <w:t>MongoDB Single Point of Failure</w:t>
      </w:r>
    </w:p>
    <w:p>
      <w:pPr>
        <w:pStyle w:val="ListBullet"/>
        <w:ind w:left="864"/>
      </w:pPr>
      <w:r>
        <w:rPr>
          <w:rFonts w:ascii="Calibri" w:hAnsi="Calibri"/>
          <w:sz w:val="22"/>
        </w:rPr>
        <w:t>The TokenStorage persistence layer is currently a single MongoDB instance. Production deployments must use replica sets with write concern majority to prevent token data loss.</w:t>
      </w:r>
    </w:p>
    <w:p>
      <w:pPr>
        <w:pStyle w:val="ListBullet"/>
        <w:ind w:left="432"/>
      </w:pPr>
      <w:r>
        <w:rPr>
          <w:rFonts w:ascii="Calibri" w:hAnsi="Calibri"/>
          <w:sz w:val="22"/>
        </w:rPr>
        <w:t>Network Token Lifecycle Mismanagement</w:t>
      </w:r>
    </w:p>
    <w:p>
      <w:pPr>
        <w:pStyle w:val="ListBullet"/>
        <w:ind w:left="864"/>
      </w:pPr>
      <w:r>
        <w:rPr>
          <w:rFonts w:ascii="Calibri" w:hAnsi="Calibri"/>
          <w:sz w:val="22"/>
        </w:rPr>
        <w:t>If token suspension or deletion events from the TSP are not consumed and acted upon, the merchant may attempt to transact with an invalidated token, causing downstream failures. An event-driven listener for network token lifecycle webhooks is recommended.</w:t>
      </w:r>
    </w:p>
    <w:p>
      <w:pPr>
        <w:pStyle w:val="Heading2"/>
      </w:pPr>
      <w:r>
        <w:rPr>
          <w:b/>
          <w:color w:val="0047AB"/>
          <w:sz w:val="28"/>
        </w:rPr>
        <w:t>7.2  Business and Compliance Challenges</w:t>
      </w:r>
    </w:p>
    <w:p>
      <w:pPr>
        <w:pStyle w:val="ListBullet"/>
        <w:ind w:left="432"/>
      </w:pPr>
      <w:r>
        <w:rPr>
          <w:rFonts w:ascii="Calibri" w:hAnsi="Calibri"/>
          <w:sz w:val="22"/>
        </w:rPr>
        <w:t>Network-Specific Onboarding</w:t>
      </w:r>
    </w:p>
    <w:p>
      <w:pPr>
        <w:pStyle w:val="ListBullet"/>
        <w:ind w:left="864"/>
      </w:pPr>
      <w:r>
        <w:rPr>
          <w:rFonts w:ascii="Calibri" w:hAnsi="Calibri"/>
          <w:sz w:val="22"/>
        </w:rPr>
        <w:t>Each card network (Visa Token Service, Mastercard MDES) requires separate onboarding, agreements, and certification. CyberSource abstracts much of this, but merchants and acquirers must still complete network-specific certification programmes.</w:t>
      </w:r>
    </w:p>
    <w:p>
      <w:pPr>
        <w:pStyle w:val="ListBullet"/>
        <w:ind w:left="432"/>
      </w:pPr>
      <w:r>
        <w:rPr>
          <w:rFonts w:ascii="Calibri" w:hAnsi="Calibri"/>
          <w:sz w:val="22"/>
        </w:rPr>
        <w:t>Scheme Interchange and Billing Reconciliation</w:t>
      </w:r>
    </w:p>
    <w:p>
      <w:pPr>
        <w:pStyle w:val="ListBullet"/>
        <w:ind w:left="864"/>
      </w:pPr>
      <w:r>
        <w:rPr>
          <w:rFonts w:ascii="Calibri" w:hAnsi="Calibri"/>
          <w:sz w:val="22"/>
        </w:rPr>
        <w:t>Tokenised transactions may be processed under different interchange categories. Finance and reconciliation systems must be updated to handle DPAN-based transaction records that map back to FPAN for statement matching.</w:t>
      </w:r>
    </w:p>
    <w:p>
      <w:pPr>
        <w:pStyle w:val="ListBullet"/>
        <w:ind w:left="432"/>
      </w:pPr>
      <w:r>
        <w:rPr>
          <w:rFonts w:ascii="Calibri" w:hAnsi="Calibri"/>
          <w:sz w:val="22"/>
        </w:rPr>
        <w:t>Cross-Border Regulatory Variation</w:t>
      </w:r>
    </w:p>
    <w:p>
      <w:pPr>
        <w:pStyle w:val="ListBullet"/>
        <w:ind w:left="864"/>
      </w:pPr>
      <w:r>
        <w:rPr>
          <w:rFonts w:ascii="Calibri" w:hAnsi="Calibri"/>
          <w:sz w:val="22"/>
        </w:rPr>
        <w:t>Data localisation laws (e.g. India RBI regulations, EU GDPR) impose constraints on where FPAN-DPAN mapping data can be stored. The TSP stores the mapping, but merchants and acquirers must validate that their processing flows comply with jurisdictional requirements.</w:t>
      </w:r>
    </w:p>
    <w:p>
      <w:pPr>
        <w:pStyle w:val="ListBullet"/>
        <w:ind w:left="432"/>
      </w:pPr>
      <w:r>
        <w:rPr>
          <w:rFonts w:ascii="Calibri" w:hAnsi="Calibri"/>
          <w:sz w:val="22"/>
        </w:rPr>
        <w:t>PAN Fall-Back Strategy</w:t>
      </w:r>
    </w:p>
    <w:p>
      <w:pPr>
        <w:pStyle w:val="ListBullet"/>
        <w:ind w:left="864"/>
      </w:pPr>
      <w:r>
        <w:rPr>
          <w:rFonts w:ascii="Calibri" w:hAnsi="Calibri"/>
          <w:sz w:val="22"/>
        </w:rPr>
        <w:t>In edge cases where a network token cannot be provisioned (e.g. issuer not enrolled in the TSP programme), the system must gracefully fall back to PAN-based processing or decline the transaction, with clear customer communication.</w:t>
      </w:r>
    </w:p>
    <w:p>
      <w:pPr>
        <w:pStyle w:val="Heading2"/>
      </w:pPr>
      <w:r>
        <w:rPr>
          <w:b/>
          <w:color w:val="0047AB"/>
          <w:sz w:val="28"/>
        </w:rPr>
        <w:t>7.3  Operational Challenges</w:t>
      </w:r>
    </w:p>
    <w:p>
      <w:pPr>
        <w:pStyle w:val="ListBullet"/>
        <w:ind w:left="432"/>
      </w:pPr>
      <w:r>
        <w:rPr>
          <w:rFonts w:ascii="Calibri" w:hAnsi="Calibri"/>
          <w:sz w:val="22"/>
        </w:rPr>
        <w:t>Observability and Debugging</w:t>
      </w:r>
    </w:p>
    <w:p>
      <w:pPr>
        <w:pStyle w:val="ListBullet"/>
        <w:ind w:left="864"/>
      </w:pPr>
      <w:r>
        <w:rPr>
          <w:rFonts w:ascii="Calibri" w:hAnsi="Calibri"/>
          <w:sz w:val="22"/>
        </w:rPr>
        <w:t>Because PANs are replaced by tokens in logs and traces, correlating a transaction issue back to the original cardholder requires privileged access to the TSP mapping layer. Operational teams need tooling and processes for this.</w:t>
      </w:r>
    </w:p>
    <w:p>
      <w:pPr>
        <w:pStyle w:val="ListBullet"/>
        <w:ind w:left="432"/>
      </w:pPr>
      <w:r>
        <w:rPr>
          <w:rFonts w:ascii="Calibri" w:hAnsi="Calibri"/>
          <w:sz w:val="22"/>
        </w:rPr>
        <w:t>Testing Against Production TSP Systems</w:t>
      </w:r>
    </w:p>
    <w:p>
      <w:pPr>
        <w:pStyle w:val="ListBullet"/>
        <w:ind w:left="864"/>
      </w:pPr>
      <w:r>
        <w:rPr>
          <w:rFonts w:ascii="Calibri" w:hAnsi="Calibri"/>
          <w:sz w:val="22"/>
        </w:rPr>
        <w:t>Sandbox environments do not fully replicate production token lifecycle behaviour. Comprehensive staging tests with synthetic card data are essential before go-live.</w:t>
      </w:r>
    </w:p>
    <w:p>
      <w:r>
        <w:br w:type="page"/>
      </w:r>
    </w:p>
    <w:p>
      <w:pPr>
        <w:pStyle w:val="Heading1"/>
      </w:pPr>
      <w:r>
        <w:rPr>
          <w:b/>
          <w:color w:val="0047AB"/>
          <w:sz w:val="36"/>
        </w:rPr>
        <w:t>8.  Reusability and the Future</w:t>
      </w:r>
    </w:p>
    <w:p>
      <w:pPr>
        <w:pStyle w:val="Heading2"/>
      </w:pPr>
      <w:r>
        <w:rPr>
          <w:b/>
          <w:color w:val="0047AB"/>
          <w:sz w:val="28"/>
        </w:rPr>
        <w:t>8.1  Reusability of the Reference Architecture</w:t>
      </w:r>
    </w:p>
    <w:p>
      <w:r>
        <w:rPr>
          <w:rFonts w:ascii="Calibri" w:hAnsi="Calibri"/>
          <w:sz w:val="22"/>
        </w:rPr>
        <w:t>The cybersource-network-token microservice is intentionally designed as a self-contained, reusable component that can be embedded into any Java-based payment platform.</w:t>
      </w:r>
    </w:p>
    <w:p>
      <w:pPr>
        <w:pStyle w:val="ListBullet"/>
        <w:ind w:left="432"/>
      </w:pPr>
      <w:r>
        <w:rPr>
          <w:rFonts w:ascii="Calibri" w:hAnsi="Calibri"/>
          <w:sz w:val="22"/>
        </w:rPr>
        <w:t>Multi-Merchant Support -- The merchantId parameter on every API call allows a single deployment to serve multiple merchant identities, suitable for marketplace and SaaS payment platform architectures.</w:t>
      </w:r>
    </w:p>
    <w:p>
      <w:pPr>
        <w:pStyle w:val="ListBullet"/>
        <w:ind w:left="432"/>
      </w:pPr>
      <w:r>
        <w:rPr>
          <w:rFonts w:ascii="Calibri" w:hAnsi="Calibri"/>
          <w:sz w:val="22"/>
        </w:rPr>
        <w:t>Stateless Service Layer -- All service classes are stateless; horizontal scaling is achieved by adding instances behind a load balancer without session affinity.</w:t>
      </w:r>
    </w:p>
    <w:p>
      <w:pPr>
        <w:pStyle w:val="ListBullet"/>
        <w:ind w:left="432"/>
      </w:pPr>
      <w:r>
        <w:rPr>
          <w:rFonts w:ascii="Calibri" w:hAnsi="Calibri"/>
          <w:sz w:val="22"/>
        </w:rPr>
        <w:t>Pluggable Persistence -- TokenStorageRepository abstracts the MongoDB layer behind a Spring Data interface. Replacing the underlying store (e.g. PostgreSQL, Redis) requires only a new repository implementation with no changes to service logic.</w:t>
      </w:r>
    </w:p>
    <w:p>
      <w:pPr>
        <w:pStyle w:val="ListBullet"/>
        <w:ind w:left="432"/>
      </w:pPr>
      <w:r>
        <w:rPr>
          <w:rFonts w:ascii="Calibri" w:hAnsi="Calibri"/>
          <w:sz w:val="22"/>
        </w:rPr>
        <w:t>Exception Abstraction -- The typed exception hierarchy decouples calling code from CyberSource-specific error codes, making it straightforward to swap or extend the payment gateway layer.</w:t>
      </w:r>
    </w:p>
    <w:p>
      <w:pPr>
        <w:pStyle w:val="ListBullet"/>
        <w:ind w:left="432"/>
      </w:pPr>
      <w:r>
        <w:rPr>
          <w:rFonts w:ascii="Calibri" w:hAnsi="Calibri"/>
          <w:sz w:val="22"/>
        </w:rPr>
        <w:t>Comprehensive Test Coverage -- 40+ unit tests across all service classes provide a regression safety net when extending functionality.</w:t>
      </w:r>
    </w:p>
    <w:p>
      <w:pPr>
        <w:pStyle w:val="Heading2"/>
      </w:pPr>
      <w:r>
        <w:rPr>
          <w:b/>
          <w:color w:val="0047AB"/>
          <w:sz w:val="28"/>
        </w:rPr>
        <w:t>8.2  Extension Opportunities</w:t>
      </w:r>
    </w:p>
    <w:p>
      <w:pPr>
        <w:pStyle w:val="ListBullet"/>
        <w:ind w:left="432"/>
      </w:pPr>
      <w:r>
        <w:rPr>
          <w:rFonts w:ascii="Calibri" w:hAnsi="Calibri"/>
          <w:sz w:val="22"/>
        </w:rPr>
        <w:t>Caching Layer -- Introduce a short-TTL cache (e.g. Redis) for the DPAN lookup to avoid repeated Instrument Identifier API calls for the same card within a session.</w:t>
      </w:r>
    </w:p>
    <w:p>
      <w:pPr>
        <w:pStyle w:val="ListBullet"/>
        <w:ind w:left="432"/>
      </w:pPr>
      <w:r>
        <w:rPr>
          <w:rFonts w:ascii="Calibri" w:hAnsi="Calibri"/>
          <w:sz w:val="22"/>
        </w:rPr>
        <w:t>Event-Driven Token Lifecycle -- Subscribe to TSP webhook events via a message queue (Kafka / SQS) to handle real-time token suspension/deletion and trigger account-update workflows.</w:t>
      </w:r>
    </w:p>
    <w:p>
      <w:pPr>
        <w:pStyle w:val="ListBullet"/>
        <w:ind w:left="432"/>
      </w:pPr>
      <w:r>
        <w:rPr>
          <w:rFonts w:ascii="Calibri" w:hAnsi="Calibri"/>
          <w:sz w:val="22"/>
        </w:rPr>
        <w:t>Retry and Circuit Breaker -- Add Resilience4j circuit breaker and retry policies around WebClient calls to improve resilience against transient CyberSource API failures.</w:t>
      </w:r>
    </w:p>
    <w:p>
      <w:pPr>
        <w:pStyle w:val="ListBullet"/>
        <w:ind w:left="432"/>
      </w:pPr>
      <w:r>
        <w:rPr>
          <w:rFonts w:ascii="Calibri" w:hAnsi="Calibri"/>
          <w:sz w:val="22"/>
        </w:rPr>
        <w:t>Metrics and Tracing -- Instrument with Micrometer + Prometheus and distributed tracing (OpenTelemetry) using the existing elapsedMilliseconds measurement as a foundation.</w:t>
      </w:r>
    </w:p>
    <w:p>
      <w:pPr>
        <w:pStyle w:val="ListBullet"/>
        <w:ind w:left="432"/>
      </w:pPr>
      <w:r>
        <w:rPr>
          <w:rFonts w:ascii="Calibri" w:hAnsi="Calibri"/>
          <w:sz w:val="22"/>
        </w:rPr>
        <w:t>Token Vault API -- Expose a read API over the MongoDB TokenStorage to allow downstream systems to look up stored tokens without re-calling CyberSource, reducing latency and API costs.</w:t>
      </w:r>
    </w:p>
    <w:p>
      <w:pPr>
        <w:pStyle w:val="Heading2"/>
      </w:pPr>
      <w:r>
        <w:rPr>
          <w:b/>
          <w:color w:val="0047AB"/>
          <w:sz w:val="28"/>
        </w:rPr>
        <w:t>8.3  Industry Trends and Future Direction</w:t>
      </w:r>
    </w:p>
    <w:p>
      <w:pPr>
        <w:pStyle w:val="ListBullet"/>
        <w:ind w:left="432"/>
      </w:pPr>
      <w:r>
        <w:rPr>
          <w:rFonts w:ascii="Calibri" w:hAnsi="Calibri"/>
          <w:sz w:val="22"/>
        </w:rPr>
        <w:t>EMV Secure Remote Commerce (SRC) / Click-to-Pay -- Standardises the consumer-facing token provisioning experience across card networks and merchants; network tokens are the cryptographic backbone.</w:t>
      </w:r>
    </w:p>
    <w:p>
      <w:pPr>
        <w:pStyle w:val="ListBullet"/>
        <w:ind w:left="432"/>
      </w:pPr>
      <w:r>
        <w:rPr>
          <w:rFonts w:ascii="Calibri" w:hAnsi="Calibri"/>
          <w:sz w:val="22"/>
        </w:rPr>
        <w:t>SCA Tokens (PSD2 Europe) -- Strong Customer Authentication under PSD2 is increasingly being satisfied via tokenised credentials bound to a device, enabling frictionless payments after initial SCA.</w:t>
      </w:r>
    </w:p>
    <w:p>
      <w:pPr>
        <w:pStyle w:val="ListBullet"/>
        <w:ind w:left="432"/>
      </w:pPr>
      <w:r>
        <w:rPr>
          <w:rFonts w:ascii="Calibri" w:hAnsi="Calibri"/>
          <w:sz w:val="22"/>
        </w:rPr>
        <w:t>Push Payments and Real-Time Rails -- Emerging real-time payment schemes (ISO 20022, FedNow, SEPA Inst.) are exploring token-based addressing, where network tokens will serve as the routing identifier for push payments.</w:t>
      </w:r>
    </w:p>
    <w:p>
      <w:pPr>
        <w:pStyle w:val="ListBullet"/>
        <w:ind w:left="432"/>
      </w:pPr>
      <w:r>
        <w:rPr>
          <w:rFonts w:ascii="Calibri" w:hAnsi="Calibri"/>
          <w:sz w:val="22"/>
        </w:rPr>
        <w:t>Account-to-Account (A2A) Tokenisation -- Bank-issued account tokens are being standardised (e.g. Mastercard Open Banking), creating a parallel tokenisation ecosystem that shares architectural patterns with card network tokens.</w:t>
      </w:r>
    </w:p>
    <w:p>
      <w:pPr>
        <w:pStyle w:val="ListBullet"/>
        <w:ind w:left="432"/>
      </w:pPr>
      <w:r>
        <w:rPr>
          <w:rFonts w:ascii="Calibri" w:hAnsi="Calibri"/>
          <w:sz w:val="22"/>
        </w:rPr>
        <w:t>Central Bank Digital Currencies (CBDCs) -- Several CBDC designs use token-based bearer instruments. The patterns established in the card-network-token world (domain binding, cryptogram assurance, lifecycle management) are directly applicable.</w:t>
      </w:r>
    </w:p>
    <w:p>
      <w:pPr>
        <w:pStyle w:val="ListBullet"/>
        <w:ind w:left="432"/>
      </w:pPr>
      <w:r>
        <w:rPr>
          <w:rFonts w:ascii="Calibri" w:hAnsi="Calibri"/>
          <w:sz w:val="22"/>
        </w:rPr>
        <w:t>AI-Driven Token Fraud Scoring -- Card networks are integrating real-time ML models at the token provisioning step to score device and channel risk, further increasing authorisation rates for genuine cardholders.</w:t>
      </w:r>
    </w:p>
    <w:p>
      <w:r>
        <w:br w:type="page"/>
      </w:r>
    </w:p>
    <w:p>
      <w:pPr>
        <w:pStyle w:val="Heading1"/>
      </w:pPr>
      <w:r>
        <w:rPr>
          <w:b/>
          <w:color w:val="0047AB"/>
          <w:sz w:val="36"/>
        </w:rPr>
        <w:t>9.  Conclusion</w:t>
      </w:r>
    </w:p>
    <w:p>
      <w:r>
        <w:rPr>
          <w:rFonts w:ascii="Calibri" w:hAnsi="Calibri"/>
          <w:sz w:val="22"/>
        </w:rPr>
        <w:t>Network tokenisation represents the most significant structural improvement to card payment security since the introduction of EMV chip cards. By replacing static PANs with dynamic, domain-restricted tokens and per-transaction cryptograms managed by the card networks themselves, the industry has created a mechanism that simultaneously improves security, increases authorisation rates, reduces operational complexity, and enhances the cardholder experience.</w:t>
      </w:r>
    </w:p>
    <w:p>
      <w:r>
        <w:rPr>
          <w:rFonts w:ascii="Calibri" w:hAnsi="Calibri"/>
          <w:sz w:val="22"/>
        </w:rPr>
        <w:t>The reference implementation described in this paper -- built on Spring Boot, CyberSource REST APIs, and MongoDB persistence -- demonstrates that the capability is achievable with a compact, well-structured microservice. The two-endpoint orchestration (Instrument Identifier creation followed by Payment Credentials retrieval) maps cleanly to the card-network provisioning model and provides a repeatable pattern that can be extended to multiple merchants, multiple card schemes, and future payment rails.</w:t>
      </w:r>
    </w:p>
    <w:p>
      <w:r>
        <w:rPr>
          <w:rFonts w:ascii="Calibri" w:hAnsi="Calibri"/>
          <w:sz w:val="22"/>
        </w:rPr>
        <w:t>Key takeaways for decision-makers:</w:t>
      </w:r>
    </w:p>
    <w:p>
      <w:pPr>
        <w:pStyle w:val="ListBullet"/>
        <w:ind w:left="432"/>
      </w:pPr>
      <w:r>
        <w:rPr>
          <w:rFonts w:ascii="Calibri" w:hAnsi="Calibri"/>
          <w:sz w:val="22"/>
        </w:rPr>
        <w:t>Adopt network tokenisation as the default card-on-file storage strategy for all new merchant integrations.</w:t>
      </w:r>
    </w:p>
    <w:p>
      <w:pPr>
        <w:pStyle w:val="ListBullet"/>
        <w:ind w:left="432"/>
      </w:pPr>
      <w:r>
        <w:rPr>
          <w:rFonts w:ascii="Calibri" w:hAnsi="Calibri"/>
          <w:sz w:val="22"/>
        </w:rPr>
        <w:t>Leverage the CyberSource Instrument Identifier abstraction to remain insulated from per-network TSP differences.</w:t>
      </w:r>
    </w:p>
    <w:p>
      <w:pPr>
        <w:pStyle w:val="ListBullet"/>
        <w:ind w:left="432"/>
      </w:pPr>
      <w:r>
        <w:rPr>
          <w:rFonts w:ascii="Calibri" w:hAnsi="Calibri"/>
          <w:sz w:val="22"/>
        </w:rPr>
        <w:t>Invest in lifecycle management and observability from day one -- the most common production failures relate to token expiry and lifecycle event handling rather than provisioning.</w:t>
      </w:r>
    </w:p>
    <w:p>
      <w:pPr>
        <w:pStyle w:val="ListBullet"/>
        <w:ind w:left="432"/>
      </w:pPr>
      <w:r>
        <w:rPr>
          <w:rFonts w:ascii="Calibri" w:hAnsi="Calibri"/>
          <w:sz w:val="22"/>
        </w:rPr>
        <w:t>Treat the reference implementation as a reusable platform component, not a one-off integration, to maximise return on investment across the merchant portfolio.</w:t>
      </w:r>
    </w:p>
    <w:p>
      <w:r>
        <w:rPr>
          <w:rFonts w:ascii="Calibri" w:hAnsi="Calibri"/>
          <w:sz w:val="22"/>
        </w:rPr>
        <w:t>As the payments landscape evolves toward real-time rails, open banking, and digital currencies, the network tokenisation infrastructure built today will serve as a critical enabler of tomorrow's payment innovations.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