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before="720"/>
        <w:jc w:val="center"/>
      </w:pPr>
      <w:r>
        <w:rPr>
          <w:rFonts w:ascii="Times New Roman" w:hAnsi="Times New Roman"/>
          <w:b w:val="1"/>
          <w:bCs w:val="1"/>
          <w:sz w:val="32"/>
          <w:szCs w:val="32"/>
          <w:rtl w:val="0"/>
        </w:rPr>
        <w:t>A PROJECT REPORT</w:t>
      </w:r>
    </w:p>
    <w:p>
      <w:pPr>
        <w:pStyle w:val="Body"/>
        <w:jc w:val="center"/>
      </w:pPr>
      <w:r>
        <w:rPr>
          <w:rFonts w:ascii="Times New Roman" w:hAnsi="Times New Roman"/>
          <w:b w:val="1"/>
          <w:bCs w:val="1"/>
          <w:sz w:val="28"/>
          <w:szCs w:val="28"/>
          <w:rtl w:val="0"/>
          <w:lang w:val="de-DE"/>
        </w:rPr>
        <w:t>ON</w:t>
      </w:r>
    </w:p>
    <w:p>
      <w:pPr>
        <w:pStyle w:val="Body"/>
        <w:spacing w:before="360"/>
        <w:jc w:val="center"/>
      </w:pPr>
      <w:r>
        <w:rPr>
          <w:rFonts w:ascii="Times New Roman" w:hAnsi="Times New Roman"/>
          <w:b w:val="1"/>
          <w:bCs w:val="1"/>
          <w:sz w:val="32"/>
          <w:szCs w:val="32"/>
          <w:rtl w:val="0"/>
          <w:lang w:val="de-DE"/>
        </w:rPr>
        <w:t>AI-POWERED EPILEPSY VARIANT DIAGNOSTIC ASSISTANT</w:t>
      </w:r>
    </w:p>
    <w:p>
      <w:pPr>
        <w:pStyle w:val="Body"/>
        <w:spacing w:before="120"/>
        <w:jc w:val="center"/>
      </w:pPr>
      <w:r>
        <w:rPr>
          <w:rFonts w:ascii="Times New Roman" w:hAnsi="Times New Roman"/>
          <w:i w:val="1"/>
          <w:iCs w:val="1"/>
          <w:sz w:val="24"/>
          <w:szCs w:val="24"/>
          <w:rtl w:val="0"/>
          <w:lang w:val="en-US"/>
        </w:rPr>
        <w:t>Using Machine Learning, ACMG/AMP Variant Classification and Retrieval-Augmented Generation</w:t>
      </w:r>
    </w:p>
    <w:p>
      <w:pPr>
        <w:pStyle w:val="Body"/>
        <w:spacing w:before="480"/>
        <w:jc w:val="center"/>
      </w:pPr>
      <w:r>
        <w:rPr>
          <w:rFonts w:ascii="Times New Roman" w:hAnsi="Times New Roman"/>
          <w:sz w:val="24"/>
          <w:szCs w:val="24"/>
          <w:rtl w:val="0"/>
          <w:lang w:val="en-US"/>
        </w:rPr>
        <w:t>Submitted in partial fulfillment of the requirements for the award of the degree of</w:t>
      </w:r>
    </w:p>
    <w:p>
      <w:pPr>
        <w:pStyle w:val="Body"/>
        <w:jc w:val="center"/>
      </w:pPr>
      <w:r>
        <w:rPr>
          <w:rFonts w:ascii="Times New Roman" w:hAnsi="Times New Roman"/>
          <w:b w:val="1"/>
          <w:bCs w:val="1"/>
          <w:sz w:val="26"/>
          <w:szCs w:val="26"/>
          <w:rtl w:val="0"/>
          <w:lang w:val="de-DE"/>
        </w:rPr>
        <w:t>BACHELOR OF ENGINEERING</w:t>
      </w:r>
    </w:p>
    <w:p>
      <w:pPr>
        <w:pStyle w:val="Body"/>
        <w:jc w:val="center"/>
      </w:pPr>
      <w:r>
        <w:rPr>
          <w:rFonts w:ascii="Times New Roman" w:hAnsi="Times New Roman"/>
          <w:sz w:val="24"/>
          <w:szCs w:val="24"/>
          <w:rtl w:val="0"/>
        </w:rPr>
        <w:t>in</w:t>
      </w:r>
    </w:p>
    <w:p>
      <w:pPr>
        <w:pStyle w:val="Body"/>
        <w:jc w:val="center"/>
      </w:pPr>
      <w:r>
        <w:rPr>
          <w:rFonts w:ascii="Times New Roman" w:hAnsi="Times New Roman"/>
          <w:b w:val="1"/>
          <w:bCs w:val="1"/>
          <w:sz w:val="26"/>
          <w:szCs w:val="26"/>
          <w:rtl w:val="0"/>
          <w:lang w:val="en-US"/>
        </w:rPr>
        <w:t>Computer Science and Engineering</w:t>
      </w:r>
    </w:p>
    <w:p>
      <w:pPr>
        <w:pStyle w:val="Body"/>
        <w:spacing w:before="480"/>
        <w:jc w:val="center"/>
      </w:pPr>
      <w:r>
        <w:rPr>
          <w:rFonts w:ascii="Times New Roman" w:hAnsi="Times New Roman"/>
          <w:b w:val="1"/>
          <w:bCs w:val="1"/>
          <w:sz w:val="24"/>
          <w:szCs w:val="24"/>
          <w:rtl w:val="0"/>
          <w:lang w:val="en-US"/>
        </w:rPr>
        <w:t>Submitted by</w:t>
      </w:r>
    </w:p>
    <w:p>
      <w:pPr>
        <w:pStyle w:val="Body"/>
        <w:jc w:val="center"/>
      </w:pPr>
      <w:r>
        <w:rPr>
          <w:rFonts w:ascii="Times New Roman" w:hAnsi="Times New Roman"/>
          <w:sz w:val="24"/>
          <w:szCs w:val="24"/>
          <w:rtl w:val="0"/>
        </w:rPr>
        <w:t>Srinidhi S G</w:t>
      </w:r>
    </w:p>
    <w:p>
      <w:pPr>
        <w:pStyle w:val="Body"/>
        <w:jc w:val="center"/>
      </w:pPr>
      <w:r>
        <w:rPr>
          <w:rFonts w:ascii="Times New Roman" w:hAnsi="Times New Roman"/>
          <w:sz w:val="24"/>
          <w:szCs w:val="24"/>
          <w:rtl w:val="0"/>
          <w:lang w:val="en-US"/>
        </w:rPr>
        <w:t>Bharath H</w:t>
      </w:r>
    </w:p>
    <w:p>
      <w:pPr>
        <w:pStyle w:val="Body"/>
        <w:jc w:val="center"/>
      </w:pPr>
      <w:r>
        <w:rPr>
          <w:rFonts w:ascii="Times New Roman" w:hAnsi="Times New Roman"/>
          <w:sz w:val="24"/>
          <w:szCs w:val="24"/>
          <w:rtl w:val="0"/>
          <w:lang w:val="it-IT"/>
        </w:rPr>
        <w:t>Sushant Kabbinada</w:t>
      </w:r>
    </w:p>
    <w:p>
      <w:pPr>
        <w:pStyle w:val="Body"/>
        <w:jc w:val="center"/>
      </w:pPr>
      <w:r>
        <w:rPr>
          <w:rFonts w:ascii="Times New Roman" w:hAnsi="Times New Roman"/>
          <w:sz w:val="24"/>
          <w:szCs w:val="24"/>
          <w:rtl w:val="0"/>
        </w:rPr>
        <w:t>Aditya Patil</w:t>
      </w:r>
    </w:p>
    <w:p>
      <w:pPr>
        <w:pStyle w:val="Body"/>
        <w:spacing w:before="360"/>
        <w:jc w:val="center"/>
      </w:pPr>
      <w:r>
        <w:rPr>
          <w:rFonts w:ascii="Times New Roman" w:hAnsi="Times New Roman"/>
          <w:b w:val="1"/>
          <w:bCs w:val="1"/>
          <w:sz w:val="24"/>
          <w:szCs w:val="24"/>
          <w:rtl w:val="0"/>
          <w:lang w:val="en-US"/>
        </w:rPr>
        <w:t>Under the Guidance of</w:t>
      </w:r>
    </w:p>
    <w:p>
      <w:pPr>
        <w:pStyle w:val="Body"/>
        <w:jc w:val="center"/>
      </w:pPr>
      <w:r>
        <w:rPr>
          <w:rFonts w:ascii="Times New Roman" w:hAnsi="Times New Roman"/>
          <w:sz w:val="24"/>
          <w:szCs w:val="24"/>
          <w:rtl w:val="0"/>
        </w:rPr>
        <w:t>Dr. M P Pushpalatha</w:t>
      </w:r>
    </w:p>
    <w:p>
      <w:pPr>
        <w:pStyle w:val="Body"/>
        <w:jc w:val="center"/>
      </w:pPr>
      <w:r>
        <w:rPr>
          <w:rFonts w:ascii="Times New Roman" w:hAnsi="Times New Roman"/>
          <w:sz w:val="24"/>
          <w:szCs w:val="24"/>
          <w:rtl w:val="0"/>
          <w:lang w:val="en-US"/>
        </w:rPr>
        <w:t>Associate Professor, Dept. of Computer Science &amp; Engineering</w:t>
      </w:r>
    </w:p>
    <w:p>
      <w:pPr>
        <w:pStyle w:val="Body"/>
        <w:spacing w:before="480"/>
        <w:jc w:val="center"/>
      </w:pPr>
      <w:r>
        <w:rPr>
          <w:rFonts w:ascii="Times New Roman" w:hAnsi="Times New Roman"/>
          <w:b w:val="1"/>
          <w:bCs w:val="1"/>
          <w:sz w:val="26"/>
          <w:szCs w:val="26"/>
          <w:rtl w:val="0"/>
          <w:lang w:val="en-US"/>
        </w:rPr>
        <w:t>DEPARTMENT OF COMPUTER SCIENCE AND ENGINEERING</w:t>
      </w:r>
    </w:p>
    <w:p>
      <w:pPr>
        <w:pStyle w:val="Body"/>
        <w:jc w:val="center"/>
      </w:pPr>
      <w:r>
        <w:rPr>
          <w:rFonts w:ascii="Times New Roman" w:hAnsi="Times New Roman"/>
          <w:b w:val="1"/>
          <w:bCs w:val="1"/>
          <w:sz w:val="26"/>
          <w:szCs w:val="26"/>
          <w:rtl w:val="0"/>
          <w:lang w:val="en-US"/>
        </w:rPr>
        <w:t>JSS Science and Technology University</w:t>
      </w:r>
    </w:p>
    <w:p>
      <w:pPr>
        <w:pStyle w:val="Body"/>
        <w:jc w:val="center"/>
      </w:pPr>
      <w:r>
        <w:rPr>
          <w:rFonts w:ascii="Times New Roman" w:hAnsi="Times New Roman"/>
          <w:sz w:val="24"/>
          <w:szCs w:val="24"/>
          <w:rtl w:val="0"/>
        </w:rPr>
        <w:t xml:space="preserve">Mysuru </w:t>
      </w:r>
      <w:r>
        <w:rPr>
          <w:rFonts w:ascii="Times New Roman" w:hAnsi="Times New Roman" w:hint="default"/>
          <w:sz w:val="24"/>
          <w:szCs w:val="24"/>
          <w:rtl w:val="0"/>
          <w:lang w:val="en-US"/>
        </w:rPr>
        <w:t xml:space="preserve">– </w:t>
      </w:r>
      <w:r>
        <w:rPr>
          <w:rFonts w:ascii="Times New Roman" w:hAnsi="Times New Roman"/>
          <w:sz w:val="24"/>
          <w:szCs w:val="24"/>
          <w:rtl w:val="0"/>
        </w:rPr>
        <w:t>570 006, Karnataka, India</w:t>
      </w:r>
    </w:p>
    <w:p>
      <w:pPr>
        <w:pStyle w:val="Body"/>
        <w:spacing w:before="240"/>
        <w:jc w:val="center"/>
      </w:pPr>
      <w:r>
        <w:rPr>
          <w:rFonts w:ascii="Times New Roman" w:hAnsi="Times New Roman"/>
          <w:b w:val="1"/>
          <w:bCs w:val="1"/>
          <w:sz w:val="24"/>
          <w:szCs w:val="24"/>
          <w:rtl w:val="0"/>
          <w:lang w:val="en-US"/>
        </w:rPr>
        <w:t xml:space="preserve">Academic Year: 2025 </w:t>
      </w:r>
      <w:r>
        <w:rPr>
          <w:rFonts w:ascii="Times New Roman" w:hAnsi="Times New Roman" w:hint="default"/>
          <w:b w:val="1"/>
          <w:bCs w:val="1"/>
          <w:sz w:val="24"/>
          <w:szCs w:val="24"/>
          <w:rtl w:val="0"/>
          <w:lang w:val="en-US"/>
        </w:rPr>
        <w:t xml:space="preserve">– </w:t>
      </w:r>
      <w:r>
        <w:rPr>
          <w:rFonts w:ascii="Times New Roman" w:hAnsi="Times New Roman"/>
          <w:b w:val="1"/>
          <w:bCs w:val="1"/>
          <w:sz w:val="24"/>
          <w:szCs w:val="24"/>
          <w:rtl w:val="0"/>
        </w:rPr>
        <w:t>2026</w:t>
      </w:r>
    </w:p>
    <w:p>
      <w:pPr>
        <w:pStyle w:val="Body"/>
        <w:spacing w:after="0"/>
        <w:sectPr>
          <w:headerReference w:type="default" r:id="rId4"/>
          <w:footerReference w:type="default" r:id="rId5"/>
          <w:pgSz w:w="11900" w:h="16840" w:orient="portrait"/>
          <w:pgMar w:top="1418" w:right="1418" w:bottom="1418" w:left="1701" w:header="567" w:footer="567"/>
          <w:pgNumType w:start="1"/>
          <w:bidi w:val="0"/>
        </w:sectPr>
      </w:pPr>
    </w:p>
    <w:p>
      <w:pPr>
        <w:pStyle w:val="Body"/>
        <w:spacing w:before="360" w:after="280"/>
        <w:jc w:val="center"/>
      </w:pPr>
      <w:r>
        <w:rPr>
          <w:rFonts w:ascii="Times New Roman" w:hAnsi="Times New Roman"/>
          <w:b w:val="1"/>
          <w:bCs w:val="1"/>
          <w:sz w:val="28"/>
          <w:szCs w:val="28"/>
          <w:rtl w:val="0"/>
          <w:lang w:val="de-DE"/>
        </w:rPr>
        <w:t>ABSTRACT</w:t>
      </w:r>
    </w:p>
    <w:p>
      <w:pPr>
        <w:pStyle w:val="Body"/>
        <w:spacing w:after="120" w:line="360" w:lineRule="auto"/>
        <w:jc w:val="both"/>
      </w:pPr>
      <w:r>
        <w:rPr>
          <w:rFonts w:ascii="Times New Roman" w:hAnsi="Times New Roman"/>
          <w:sz w:val="24"/>
          <w:szCs w:val="24"/>
          <w:rtl w:val="0"/>
          <w:lang w:val="en-US"/>
        </w:rPr>
        <w:t>Epilepsy is one of the most prevalent neurological disorders worldwide, affecting over 50 million individuals. Accurate classification of genetic variants associated with epilepsy is essential for diagnosis, treatment planning, and genetic counseling. Manual curation of variants against established guidelines such as ACMG/AMP is time-intensive, inconsistent across laboratories, and requires deep domain expertise. This project presents an AI-powered Epilepsy Variant Diagnostic Assistant that integrates machine learning, automated ACMG/AMP classification, and Retrieval-Augmented Generation (RAG) to provide accurate, explainable variant pathogenicity predictions.</w:t>
      </w:r>
    </w:p>
    <w:p>
      <w:pPr>
        <w:pStyle w:val="Body"/>
        <w:spacing w:after="120" w:line="360" w:lineRule="auto"/>
        <w:jc w:val="both"/>
      </w:pPr>
      <w:r>
        <w:rPr>
          <w:rFonts w:ascii="Times New Roman" w:hAnsi="Times New Roman"/>
          <w:sz w:val="24"/>
          <w:szCs w:val="24"/>
          <w:rtl w:val="0"/>
          <w:lang w:val="en-US"/>
        </w:rPr>
        <w:t>The system employs an XGBoost classifier calibrated with isotonic regression over a 93-dimensional feature vector derived from genomic, clinical, and database features. The model achieves an accuracy of 89.89%, an AUC of 0.9446, and an F1 score of 0.8538 on held-out test data. An automated ACMG/AMP engine implements 14 evidence criteria using the Tavtigian et al. (2018) points-based scoring model, validated at 98.5% agreement with expert classifications across 200 real ClinVar variants. TreeSHAP is used to generate interpretable explanations and to supply PP3/BP4 evidence criteria. External data from ClinVar, gnomAD, PubMed, and PharmGKB is retrieved via a multi-source RAG pipeline and synthesized into clinical narrative reports using a large language model.</w:t>
      </w:r>
    </w:p>
    <w:p>
      <w:pPr>
        <w:pStyle w:val="Body"/>
        <w:spacing w:after="120" w:line="360" w:lineRule="auto"/>
        <w:jc w:val="both"/>
      </w:pPr>
      <w:r>
        <w:rPr>
          <w:rFonts w:ascii="Times New Roman" w:hAnsi="Times New Roman"/>
          <w:sz w:val="24"/>
          <w:szCs w:val="24"/>
          <w:rtl w:val="0"/>
          <w:lang w:val="en-US"/>
        </w:rPr>
        <w:t>A confidence-aware routing mechanism identifies uncertain predictions (probability 0.30</w:t>
      </w:r>
      <w:r>
        <w:rPr>
          <w:rFonts w:ascii="Times New Roman" w:hAnsi="Times New Roman" w:hint="default"/>
          <w:sz w:val="24"/>
          <w:szCs w:val="24"/>
          <w:rtl w:val="0"/>
          <w:lang w:val="en-US"/>
        </w:rPr>
        <w:t>–</w:t>
      </w:r>
      <w:r>
        <w:rPr>
          <w:rFonts w:ascii="Times New Roman" w:hAnsi="Times New Roman"/>
          <w:sz w:val="24"/>
          <w:szCs w:val="24"/>
          <w:rtl w:val="0"/>
          <w:lang w:val="en-US"/>
        </w:rPr>
        <w:t>0.70) and triggers additional evidence gathering. A contradiction detection module identifies conflicts between evidence sources. The full system is deployed as a FastAPI backend with a React frontend, supporting real-time variant analysis for 27 epilepsy genes. Comprehensive testing across 200 test cases (unit, integration, regression, smoke, and performance) confirms system correctness, stability, and production readiness.</w:t>
      </w:r>
    </w:p>
    <w:p>
      <w:pPr>
        <w:pStyle w:val="Body"/>
        <w:spacing w:after="120" w:line="360" w:lineRule="auto"/>
        <w:jc w:val="both"/>
      </w:pPr>
      <w:r>
        <w:rPr>
          <w:rFonts w:ascii="Times New Roman" w:hAnsi="Times New Roman"/>
          <w:sz w:val="24"/>
          <w:szCs w:val="24"/>
          <w:rtl w:val="0"/>
          <w:lang w:val="en-US"/>
        </w:rPr>
        <w:t>Keywords: Epilepsy, Variant Classification, ACMG/AMP, XGBoost, SHAP, Retrieval-Augmented Generation, ClinVar, gnomAD, Pathogenicity Prediction, Clinical Decision Support.</w:t>
      </w:r>
    </w:p>
    <w:p>
      <w:pPr>
        <w:pStyle w:val="Body"/>
      </w:pPr>
      <w:r>
        <w:rPr>
          <w:rFonts w:ascii="Arial Unicode MS" w:cs="Arial Unicode MS" w:hAnsi="Arial Unicode MS" w:eastAsia="Arial Unicode MS"/>
          <w:b w:val="0"/>
          <w:bCs w:val="0"/>
          <w:i w:val="0"/>
          <w:iCs w:val="0"/>
        </w:rPr>
        <w:br w:type="page"/>
      </w:r>
    </w:p>
    <w:p>
      <w:pPr>
        <w:pStyle w:val="Body"/>
        <w:spacing w:before="360" w:after="280"/>
        <w:jc w:val="center"/>
      </w:pPr>
      <w:r>
        <w:rPr>
          <w:rFonts w:ascii="Times New Roman" w:hAnsi="Times New Roman"/>
          <w:b w:val="1"/>
          <w:bCs w:val="1"/>
          <w:sz w:val="28"/>
          <w:szCs w:val="28"/>
          <w:rtl w:val="0"/>
          <w:lang w:val="de-DE"/>
        </w:rPr>
        <w:t>ACKNOWLEDGEMENT</w:t>
      </w:r>
    </w:p>
    <w:p>
      <w:pPr>
        <w:pStyle w:val="Body"/>
        <w:spacing w:after="120" w:line="360" w:lineRule="auto"/>
        <w:jc w:val="both"/>
      </w:pPr>
      <w:r>
        <w:rPr>
          <w:rFonts w:ascii="Times New Roman" w:hAnsi="Times New Roman"/>
          <w:sz w:val="24"/>
          <w:szCs w:val="24"/>
          <w:rtl w:val="0"/>
          <w:lang w:val="en-US"/>
        </w:rPr>
        <w:t>We would like to express our sincere gratitude to</w:t>
      </w:r>
      <w:r>
        <w:rPr>
          <w:rFonts w:ascii="Times New Roman" w:hAnsi="Times New Roman"/>
          <w:b w:val="1"/>
          <w:bCs w:val="1"/>
          <w:sz w:val="24"/>
          <w:szCs w:val="24"/>
          <w:rtl w:val="0"/>
          <w:lang w:val="en-US"/>
        </w:rPr>
        <w:t xml:space="preserve"> JSS Science and Technology University </w:t>
      </w:r>
      <w:r>
        <w:rPr>
          <w:rFonts w:ascii="Times New Roman" w:hAnsi="Times New Roman"/>
          <w:sz w:val="24"/>
          <w:szCs w:val="24"/>
          <w:rtl w:val="0"/>
          <w:lang w:val="en-US"/>
        </w:rPr>
        <w:t xml:space="preserve">for providing us with the opportunity and resources to undertake this project, </w:t>
      </w:r>
      <w:r>
        <w:rPr>
          <w:rFonts w:ascii="Times New Roman" w:hAnsi="Times New Roman" w:hint="default"/>
          <w:sz w:val="24"/>
          <w:szCs w:val="24"/>
          <w:rtl w:val="0"/>
          <w:lang w:val="en-US"/>
        </w:rPr>
        <w:t>“</w:t>
      </w:r>
      <w:r>
        <w:rPr>
          <w:rFonts w:ascii="Times New Roman" w:hAnsi="Times New Roman"/>
          <w:sz w:val="24"/>
          <w:szCs w:val="24"/>
          <w:rtl w:val="0"/>
          <w:lang w:val="en-US"/>
        </w:rPr>
        <w:t>AI-Driven Epilepsy Genetic Variant Classification With ACMG Criteria and Retrieval-Augmented Generation.</w:t>
      </w:r>
      <w:r>
        <w:rPr>
          <w:rFonts w:ascii="Times New Roman" w:hAnsi="Times New Roman" w:hint="default"/>
          <w:sz w:val="24"/>
          <w:szCs w:val="24"/>
          <w:rtl w:val="0"/>
          <w:lang w:val="en-US"/>
        </w:rPr>
        <w:t xml:space="preserve">” </w:t>
      </w:r>
      <w:r>
        <w:rPr>
          <w:rFonts w:ascii="Times New Roman" w:hAnsi="Times New Roman"/>
          <w:sz w:val="24"/>
          <w:szCs w:val="24"/>
          <w:rtl w:val="0"/>
          <w:lang w:val="en-US"/>
        </w:rPr>
        <w:t xml:space="preserve">First and foremost, we extend our heartfelt appreciation to our guide, </w:t>
      </w:r>
      <w:r>
        <w:rPr>
          <w:rFonts w:ascii="Times New Roman" w:hAnsi="Times New Roman"/>
          <w:b w:val="1"/>
          <w:bCs w:val="1"/>
          <w:sz w:val="24"/>
          <w:szCs w:val="24"/>
          <w:rtl w:val="0"/>
        </w:rPr>
        <w:t>Dr. M P Pushpalatha</w:t>
      </w:r>
      <w:r>
        <w:rPr>
          <w:rFonts w:ascii="Times New Roman" w:hAnsi="Times New Roman"/>
          <w:sz w:val="24"/>
          <w:szCs w:val="24"/>
          <w:rtl w:val="0"/>
        </w:rPr>
        <w:t>,</w:t>
      </w:r>
      <w:r>
        <w:rPr>
          <w:rFonts w:ascii="Times New Roman" w:hAnsi="Times New Roman"/>
          <w:b w:val="1"/>
          <w:bCs w:val="1"/>
          <w:sz w:val="24"/>
          <w:szCs w:val="24"/>
          <w:rtl w:val="0"/>
          <w:lang w:val="en-US"/>
        </w:rPr>
        <w:t xml:space="preserve"> Professor, Department of Computer Science &amp; Engineering</w:t>
      </w:r>
      <w:r>
        <w:rPr>
          <w:rFonts w:ascii="Times New Roman" w:hAnsi="Times New Roman"/>
          <w:sz w:val="24"/>
          <w:szCs w:val="24"/>
          <w:rtl w:val="0"/>
        </w:rPr>
        <w:t xml:space="preserve">, </w:t>
      </w:r>
      <w:r>
        <w:rPr>
          <w:rFonts w:ascii="Times New Roman" w:hAnsi="Times New Roman"/>
          <w:sz w:val="24"/>
          <w:szCs w:val="24"/>
          <w:rtl w:val="0"/>
          <w:lang w:val="en-US"/>
        </w:rPr>
        <w:t xml:space="preserve">for her invaluable guidance, encouragement, and unwavering support throughout the course of this research. Her expertise and insights have been instrumental in shaping the direction of our work. We are also deeply grateful to </w:t>
      </w:r>
      <w:r>
        <w:rPr>
          <w:rFonts w:ascii="Times New Roman" w:hAnsi="Times New Roman"/>
          <w:b w:val="1"/>
          <w:bCs w:val="1"/>
          <w:sz w:val="24"/>
          <w:szCs w:val="24"/>
          <w:rtl w:val="0"/>
          <w:lang w:val="en-US"/>
        </w:rPr>
        <w:t>Dr. Anil Kumar, Professor and Head of the Department</w:t>
      </w:r>
      <w:r>
        <w:rPr>
          <w:rFonts w:ascii="Times New Roman" w:hAnsi="Times New Roman"/>
          <w:sz w:val="24"/>
          <w:szCs w:val="24"/>
          <w:rtl w:val="0"/>
          <w:lang w:val="en-US"/>
        </w:rPr>
        <w:t>, for his continuous support and for fostering an environment conducive to research and innovation.</w:t>
      </w:r>
    </w:p>
    <w:p>
      <w:pPr>
        <w:pStyle w:val="Body"/>
        <w:spacing w:after="120" w:line="360" w:lineRule="auto"/>
        <w:jc w:val="both"/>
      </w:pPr>
      <w:r>
        <w:rPr>
          <w:rFonts w:ascii="Times New Roman" w:hAnsi="Times New Roman"/>
          <w:sz w:val="24"/>
          <w:szCs w:val="24"/>
          <w:rtl w:val="0"/>
          <w:lang w:val="en-US"/>
        </w:rPr>
        <w:t xml:space="preserve">Our sincere thanks go to </w:t>
      </w:r>
      <w:r>
        <w:rPr>
          <w:rFonts w:ascii="Times New Roman" w:hAnsi="Times New Roman"/>
          <w:b w:val="1"/>
          <w:bCs w:val="1"/>
          <w:sz w:val="24"/>
          <w:szCs w:val="24"/>
          <w:rtl w:val="0"/>
          <w:lang w:val="en-US"/>
        </w:rPr>
        <w:t>JSS Science and Technology University</w:t>
      </w:r>
      <w:r>
        <w:rPr>
          <w:rFonts w:ascii="Times New Roman" w:hAnsi="Times New Roman"/>
          <w:sz w:val="24"/>
          <w:szCs w:val="24"/>
          <w:rtl w:val="0"/>
          <w:lang w:val="en-US"/>
        </w:rPr>
        <w:t xml:space="preserve"> for providing us with access to essential resources, infrastructure, and academic support that enabled us to carry out this study effectively. We would also like to acknowledge the contributions of our fellow researchers, faculty members, and peers who provided valuable feedback and suggestions that helped refine our approach. Finally, we extend our deepest gratitude to our families and friends for their unwavering encouragement and support throughout this journey. Their belief in our work has been a constant source of motivation. This project has been a remarkable learning experience, and we are grateful to everyone who played a role in its successful completion.</w:t>
      </w:r>
    </w:p>
    <w:p>
      <w:pPr>
        <w:pStyle w:val="Body"/>
      </w:pPr>
      <w:r>
        <w:rPr>
          <w:rFonts w:ascii="Arial Unicode MS" w:cs="Arial Unicode MS" w:hAnsi="Arial Unicode MS" w:eastAsia="Arial Unicode MS"/>
          <w:b w:val="0"/>
          <w:bCs w:val="0"/>
          <w:i w:val="0"/>
          <w:iCs w:val="0"/>
        </w:rPr>
        <w:br w:type="page"/>
      </w:r>
    </w:p>
    <w:p>
      <w:pPr>
        <w:pStyle w:val="Body"/>
        <w:spacing w:before="360" w:after="280"/>
        <w:jc w:val="center"/>
      </w:pPr>
      <w:r>
        <w:rPr>
          <w:rFonts w:ascii="Times New Roman" w:hAnsi="Times New Roman"/>
          <w:b w:val="1"/>
          <w:bCs w:val="1"/>
          <w:sz w:val="28"/>
          <w:szCs w:val="28"/>
          <w:rtl w:val="0"/>
          <w:lang w:val="en-US"/>
        </w:rPr>
        <w:t>TABLE OF CONTENTS</w:t>
      </w:r>
    </w:p>
    <w:tbl>
      <w:tblPr>
        <w:tblW w:w="8504"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000000"/>
        <w:tblLayout w:type="fixed"/>
      </w:tblPr>
      <w:tblGrid>
        <w:gridCol w:w="7370"/>
        <w:gridCol w:w="1134"/>
      </w:tblGrid>
      <w:tr>
        <w:tblPrEx>
          <w:shd w:val="clear" w:color="auto" w:fill="auto"/>
        </w:tblPrEx>
        <w:trPr>
          <w:trHeight w:val="297" w:hRule="atLeast"/>
        </w:trPr>
        <w:tc>
          <w:tcPr>
            <w:tcW w:type="dxa" w:w="7370"/>
            <w:tcBorders>
              <w:top w:val="single" w:color="000000" w:sz="6" w:space="0" w:shadow="0" w:frame="0"/>
              <w:left w:val="single" w:color="000000" w:sz="6" w:space="0" w:shadow="0" w:frame="0"/>
              <w:bottom w:val="nil"/>
              <w:right w:val="single" w:color="000000" w:sz="8" w:space="0" w:shadow="0" w:frame="0"/>
            </w:tcBorders>
            <w:shd w:val="clear" w:color="auto" w:fill="auto"/>
            <w:tcMar>
              <w:top w:type="dxa" w:w="80"/>
              <w:left w:type="dxa" w:w="80"/>
              <w:bottom w:type="dxa" w:w="80"/>
              <w:right w:type="dxa" w:w="80"/>
            </w:tcMar>
            <w:vAlign w:val="top"/>
          </w:tcPr>
          <w:p>
            <w:pPr>
              <w:pStyle w:val="Body"/>
              <w:spacing w:before="40" w:after="40"/>
            </w:pPr>
            <w:r>
              <w:rPr>
                <w:rFonts w:ascii="Times New Roman" w:hAnsi="Times New Roman"/>
                <w:sz w:val="24"/>
                <w:szCs w:val="24"/>
                <w:shd w:val="nil" w:color="auto" w:fill="auto"/>
                <w:rtl w:val="0"/>
                <w:lang w:val="en-US"/>
              </w:rPr>
              <w:t>Abstract</w:t>
            </w:r>
          </w:p>
        </w:tc>
        <w:tc>
          <w:tcPr>
            <w:tcW w:type="dxa" w:w="1134"/>
            <w:tcBorders>
              <w:top w:val="single" w:color="000000" w:sz="6" w:space="0" w:shadow="0" w:frame="0"/>
              <w:left w:val="single" w:color="000000" w:sz="8" w:space="0" w:shadow="0" w:frame="0"/>
              <w:bottom w:val="nil"/>
              <w:right w:val="single" w:color="000000" w:sz="6" w:space="0" w:shadow="0" w:frame="0"/>
            </w:tcBorders>
            <w:shd w:val="clear" w:color="auto" w:fill="auto"/>
            <w:tcMar>
              <w:top w:type="dxa" w:w="80"/>
              <w:left w:type="dxa" w:w="80"/>
              <w:bottom w:type="dxa" w:w="80"/>
              <w:right w:type="dxa" w:w="80"/>
            </w:tcMar>
            <w:vAlign w:val="top"/>
          </w:tcPr>
          <w:p>
            <w:pPr>
              <w:pStyle w:val="Body"/>
              <w:spacing w:before="40" w:after="40"/>
              <w:jc w:val="center"/>
            </w:pPr>
            <w:r>
              <w:rPr>
                <w:rFonts w:ascii="Times New Roman" w:hAnsi="Times New Roman"/>
                <w:sz w:val="24"/>
                <w:szCs w:val="24"/>
                <w:shd w:val="nil" w:color="auto" w:fill="auto"/>
                <w:rtl w:val="0"/>
                <w:lang w:val="en-US"/>
              </w:rPr>
              <w:t>i</w:t>
            </w:r>
          </w:p>
        </w:tc>
      </w:tr>
      <w:tr>
        <w:tblPrEx>
          <w:shd w:val="clear" w:color="auto" w:fill="000000"/>
        </w:tblPrEx>
        <w:trPr>
          <w:trHeight w:val="290" w:hRule="atLeast"/>
        </w:trPr>
        <w:tc>
          <w:tcPr>
            <w:tcW w:type="dxa" w:w="7370"/>
            <w:tcBorders>
              <w:top w:val="nil"/>
              <w:left w:val="single" w:color="000000" w:sz="6" w:space="0" w:shadow="0" w:frame="0"/>
              <w:bottom w:val="nil"/>
              <w:right w:val="single" w:color="000000" w:sz="8" w:space="0" w:shadow="0" w:frame="0"/>
            </w:tcBorders>
            <w:shd w:val="clear" w:color="auto" w:fill="auto"/>
            <w:tcMar>
              <w:top w:type="dxa" w:w="80"/>
              <w:left w:type="dxa" w:w="80"/>
              <w:bottom w:type="dxa" w:w="80"/>
              <w:right w:type="dxa" w:w="80"/>
            </w:tcMar>
            <w:vAlign w:val="top"/>
          </w:tcPr>
          <w:p>
            <w:pPr>
              <w:pStyle w:val="Body"/>
              <w:spacing w:before="40" w:after="40"/>
            </w:pPr>
            <w:r>
              <w:rPr>
                <w:rFonts w:ascii="Times New Roman" w:hAnsi="Times New Roman"/>
                <w:sz w:val="24"/>
                <w:szCs w:val="24"/>
                <w:shd w:val="nil" w:color="auto" w:fill="auto"/>
                <w:rtl w:val="0"/>
                <w:lang w:val="en-US"/>
              </w:rPr>
              <w:t>Acknowledgement</w:t>
            </w:r>
          </w:p>
        </w:tc>
        <w:tc>
          <w:tcPr>
            <w:tcW w:type="dxa" w:w="1134"/>
            <w:tcBorders>
              <w:top w:val="nil"/>
              <w:left w:val="single" w:color="000000" w:sz="8" w:space="0" w:shadow="0" w:frame="0"/>
              <w:bottom w:val="nil"/>
              <w:right w:val="single" w:color="000000" w:sz="6" w:space="0" w:shadow="0" w:frame="0"/>
            </w:tcBorders>
            <w:shd w:val="clear" w:color="auto" w:fill="auto"/>
            <w:tcMar>
              <w:top w:type="dxa" w:w="80"/>
              <w:left w:type="dxa" w:w="80"/>
              <w:bottom w:type="dxa" w:w="80"/>
              <w:right w:type="dxa" w:w="80"/>
            </w:tcMar>
            <w:vAlign w:val="top"/>
          </w:tcPr>
          <w:p>
            <w:pPr>
              <w:pStyle w:val="Body"/>
              <w:spacing w:before="40" w:after="40"/>
              <w:jc w:val="center"/>
            </w:pPr>
            <w:r>
              <w:rPr>
                <w:rFonts w:ascii="Times New Roman" w:hAnsi="Times New Roman"/>
                <w:sz w:val="24"/>
                <w:szCs w:val="24"/>
                <w:shd w:val="nil" w:color="auto" w:fill="auto"/>
                <w:rtl w:val="0"/>
                <w:lang w:val="en-US"/>
              </w:rPr>
              <w:t>ii</w:t>
            </w:r>
          </w:p>
        </w:tc>
      </w:tr>
      <w:tr>
        <w:tblPrEx>
          <w:shd w:val="clear" w:color="auto" w:fill="000000"/>
        </w:tblPrEx>
        <w:trPr>
          <w:trHeight w:val="290" w:hRule="atLeast"/>
        </w:trPr>
        <w:tc>
          <w:tcPr>
            <w:tcW w:type="dxa" w:w="7370"/>
            <w:tcBorders>
              <w:top w:val="nil"/>
              <w:left w:val="single" w:color="000000" w:sz="6" w:space="0" w:shadow="0" w:frame="0"/>
              <w:bottom w:val="nil"/>
              <w:right w:val="single" w:color="000000" w:sz="8" w:space="0" w:shadow="0" w:frame="0"/>
            </w:tcBorders>
            <w:shd w:val="clear" w:color="auto" w:fill="auto"/>
            <w:tcMar>
              <w:top w:type="dxa" w:w="80"/>
              <w:left w:type="dxa" w:w="80"/>
              <w:bottom w:type="dxa" w:w="80"/>
              <w:right w:type="dxa" w:w="80"/>
            </w:tcMar>
            <w:vAlign w:val="top"/>
          </w:tcPr>
          <w:p>
            <w:pPr>
              <w:pStyle w:val="Body"/>
              <w:spacing w:before="40" w:after="40"/>
            </w:pPr>
            <w:r>
              <w:rPr>
                <w:rFonts w:ascii="Times New Roman" w:hAnsi="Times New Roman"/>
                <w:sz w:val="24"/>
                <w:szCs w:val="24"/>
                <w:shd w:val="nil" w:color="auto" w:fill="auto"/>
                <w:rtl w:val="0"/>
                <w:lang w:val="en-US"/>
              </w:rPr>
              <w:t>Table of Contents</w:t>
            </w:r>
          </w:p>
        </w:tc>
        <w:tc>
          <w:tcPr>
            <w:tcW w:type="dxa" w:w="1134"/>
            <w:tcBorders>
              <w:top w:val="nil"/>
              <w:left w:val="single" w:color="000000" w:sz="8" w:space="0" w:shadow="0" w:frame="0"/>
              <w:bottom w:val="nil"/>
              <w:right w:val="single" w:color="000000" w:sz="6" w:space="0" w:shadow="0" w:frame="0"/>
            </w:tcBorders>
            <w:shd w:val="clear" w:color="auto" w:fill="auto"/>
            <w:tcMar>
              <w:top w:type="dxa" w:w="80"/>
              <w:left w:type="dxa" w:w="80"/>
              <w:bottom w:type="dxa" w:w="80"/>
              <w:right w:type="dxa" w:w="80"/>
            </w:tcMar>
            <w:vAlign w:val="top"/>
          </w:tcPr>
          <w:p>
            <w:pPr>
              <w:pStyle w:val="Body"/>
              <w:spacing w:before="40" w:after="40"/>
              <w:jc w:val="center"/>
            </w:pPr>
            <w:r>
              <w:rPr>
                <w:rtl w:val="0"/>
                <w:lang w:val="en-US"/>
              </w:rPr>
              <w:t>i</w:t>
            </w:r>
            <w:r>
              <w:rPr>
                <w:rFonts w:ascii="Times New Roman" w:hAnsi="Times New Roman"/>
                <w:sz w:val="24"/>
                <w:szCs w:val="24"/>
                <w:shd w:val="nil" w:color="auto" w:fill="auto"/>
                <w:rtl w:val="0"/>
                <w:lang w:val="en-US"/>
              </w:rPr>
              <w:t>ii-iv</w:t>
            </w:r>
          </w:p>
        </w:tc>
      </w:tr>
      <w:tr>
        <w:tblPrEx>
          <w:shd w:val="clear" w:color="auto" w:fill="000000"/>
        </w:tblPrEx>
        <w:trPr>
          <w:trHeight w:val="290" w:hRule="atLeast"/>
        </w:trPr>
        <w:tc>
          <w:tcPr>
            <w:tcW w:type="dxa" w:w="7370"/>
            <w:tcBorders>
              <w:top w:val="nil"/>
              <w:left w:val="single" w:color="000000" w:sz="6" w:space="0" w:shadow="0" w:frame="0"/>
              <w:bottom w:val="nil"/>
              <w:right w:val="single" w:color="000000" w:sz="8" w:space="0" w:shadow="0" w:frame="0"/>
            </w:tcBorders>
            <w:shd w:val="clear" w:color="auto" w:fill="auto"/>
            <w:tcMar>
              <w:top w:type="dxa" w:w="80"/>
              <w:left w:type="dxa" w:w="80"/>
              <w:bottom w:type="dxa" w:w="80"/>
              <w:right w:type="dxa" w:w="80"/>
            </w:tcMar>
            <w:vAlign w:val="top"/>
          </w:tcPr>
          <w:p>
            <w:pPr>
              <w:pStyle w:val="Body"/>
              <w:spacing w:before="40" w:after="40"/>
            </w:pPr>
            <w:r>
              <w:rPr>
                <w:rFonts w:ascii="Times New Roman" w:hAnsi="Times New Roman"/>
                <w:sz w:val="24"/>
                <w:szCs w:val="24"/>
                <w:shd w:val="nil" w:color="auto" w:fill="auto"/>
                <w:rtl w:val="0"/>
                <w:lang w:val="en-US"/>
              </w:rPr>
              <w:t>List of Figures</w:t>
            </w:r>
          </w:p>
        </w:tc>
        <w:tc>
          <w:tcPr>
            <w:tcW w:type="dxa" w:w="1134"/>
            <w:tcBorders>
              <w:top w:val="nil"/>
              <w:left w:val="single" w:color="000000" w:sz="8" w:space="0" w:shadow="0" w:frame="0"/>
              <w:bottom w:val="nil"/>
              <w:right w:val="single" w:color="000000" w:sz="6" w:space="0" w:shadow="0" w:frame="0"/>
            </w:tcBorders>
            <w:shd w:val="clear" w:color="auto" w:fill="auto"/>
            <w:tcMar>
              <w:top w:type="dxa" w:w="80"/>
              <w:left w:type="dxa" w:w="80"/>
              <w:bottom w:type="dxa" w:w="80"/>
              <w:right w:type="dxa" w:w="80"/>
            </w:tcMar>
            <w:vAlign w:val="top"/>
          </w:tcPr>
          <w:p>
            <w:pPr>
              <w:pStyle w:val="Body"/>
              <w:spacing w:before="40" w:after="40"/>
              <w:jc w:val="center"/>
            </w:pPr>
            <w:r>
              <w:rPr>
                <w:rFonts w:ascii="Times New Roman" w:hAnsi="Times New Roman"/>
                <w:sz w:val="24"/>
                <w:szCs w:val="24"/>
                <w:shd w:val="nil" w:color="auto" w:fill="auto"/>
                <w:rtl w:val="0"/>
                <w:lang w:val="en-US"/>
              </w:rPr>
              <w:t>v</w:t>
            </w:r>
          </w:p>
        </w:tc>
      </w:tr>
      <w:tr>
        <w:tblPrEx>
          <w:shd w:val="clear" w:color="auto" w:fill="000000"/>
        </w:tblPrEx>
        <w:trPr>
          <w:trHeight w:val="290" w:hRule="atLeast"/>
        </w:trPr>
        <w:tc>
          <w:tcPr>
            <w:tcW w:type="dxa" w:w="7370"/>
            <w:tcBorders>
              <w:top w:val="nil"/>
              <w:left w:val="single" w:color="000000" w:sz="6" w:space="0" w:shadow="0" w:frame="0"/>
              <w:bottom w:val="nil"/>
              <w:right w:val="single" w:color="000000" w:sz="8" w:space="0" w:shadow="0" w:frame="0"/>
            </w:tcBorders>
            <w:shd w:val="clear" w:color="auto" w:fill="auto"/>
            <w:tcMar>
              <w:top w:type="dxa" w:w="80"/>
              <w:left w:type="dxa" w:w="80"/>
              <w:bottom w:type="dxa" w:w="80"/>
              <w:right w:type="dxa" w:w="80"/>
            </w:tcMar>
            <w:vAlign w:val="top"/>
          </w:tcPr>
          <w:p>
            <w:pPr>
              <w:pStyle w:val="Body"/>
              <w:spacing w:before="40" w:after="40"/>
            </w:pPr>
            <w:r>
              <w:rPr>
                <w:rFonts w:ascii="Times New Roman" w:hAnsi="Times New Roman"/>
                <w:sz w:val="24"/>
                <w:szCs w:val="24"/>
                <w:shd w:val="nil" w:color="auto" w:fill="auto"/>
                <w:rtl w:val="0"/>
                <w:lang w:val="en-US"/>
              </w:rPr>
              <w:t>List of Tables</w:t>
            </w:r>
          </w:p>
        </w:tc>
        <w:tc>
          <w:tcPr>
            <w:tcW w:type="dxa" w:w="1134"/>
            <w:tcBorders>
              <w:top w:val="nil"/>
              <w:left w:val="single" w:color="000000" w:sz="8" w:space="0" w:shadow="0" w:frame="0"/>
              <w:bottom w:val="nil"/>
              <w:right w:val="single" w:color="000000" w:sz="6" w:space="0" w:shadow="0" w:frame="0"/>
            </w:tcBorders>
            <w:shd w:val="clear" w:color="auto" w:fill="auto"/>
            <w:tcMar>
              <w:top w:type="dxa" w:w="80"/>
              <w:left w:type="dxa" w:w="80"/>
              <w:bottom w:type="dxa" w:w="80"/>
              <w:right w:type="dxa" w:w="80"/>
            </w:tcMar>
            <w:vAlign w:val="top"/>
          </w:tcPr>
          <w:p>
            <w:pPr>
              <w:pStyle w:val="Body"/>
              <w:spacing w:before="40" w:after="40"/>
              <w:jc w:val="center"/>
            </w:pPr>
            <w:r>
              <w:rPr>
                <w:rFonts w:ascii="Times New Roman" w:hAnsi="Times New Roman"/>
                <w:sz w:val="24"/>
                <w:szCs w:val="24"/>
                <w:shd w:val="nil" w:color="auto" w:fill="auto"/>
                <w:rtl w:val="0"/>
                <w:lang w:val="en-US"/>
              </w:rPr>
              <w:t>Vi</w:t>
            </w:r>
          </w:p>
        </w:tc>
      </w:tr>
      <w:tr>
        <w:tblPrEx>
          <w:shd w:val="clear" w:color="auto" w:fill="000000"/>
        </w:tblPrEx>
        <w:trPr>
          <w:trHeight w:val="290" w:hRule="atLeast"/>
        </w:trPr>
        <w:tc>
          <w:tcPr>
            <w:tcW w:type="dxa" w:w="7370"/>
            <w:tcBorders>
              <w:top w:val="nil"/>
              <w:left w:val="single" w:color="000000" w:sz="6" w:space="0" w:shadow="0" w:frame="0"/>
              <w:bottom w:val="nil"/>
              <w:right w:val="single" w:color="000000" w:sz="8" w:space="0" w:shadow="0" w:frame="0"/>
            </w:tcBorders>
            <w:shd w:val="clear" w:color="auto" w:fill="auto"/>
            <w:tcMar>
              <w:top w:type="dxa" w:w="80"/>
              <w:left w:type="dxa" w:w="80"/>
              <w:bottom w:type="dxa" w:w="80"/>
              <w:right w:type="dxa" w:w="80"/>
            </w:tcMar>
            <w:vAlign w:val="top"/>
          </w:tcPr>
          <w:p>
            <w:pPr>
              <w:pStyle w:val="Body"/>
              <w:spacing w:before="40" w:after="40"/>
            </w:pPr>
            <w:r>
              <w:rPr>
                <w:rFonts w:ascii="Times New Roman" w:hAnsi="Times New Roman"/>
                <w:b w:val="1"/>
                <w:bCs w:val="1"/>
                <w:sz w:val="24"/>
                <w:szCs w:val="24"/>
                <w:shd w:val="nil" w:color="auto" w:fill="auto"/>
                <w:rtl w:val="0"/>
                <w:lang w:val="en-US"/>
              </w:rPr>
              <w:t>Chapter 1: Introduction</w:t>
            </w:r>
          </w:p>
        </w:tc>
        <w:tc>
          <w:tcPr>
            <w:tcW w:type="dxa" w:w="1134"/>
            <w:tcBorders>
              <w:top w:val="nil"/>
              <w:left w:val="single" w:color="000000" w:sz="8" w:space="0" w:shadow="0" w:frame="0"/>
              <w:bottom w:val="nil"/>
              <w:right w:val="single" w:color="000000" w:sz="6" w:space="0" w:shadow="0" w:frame="0"/>
            </w:tcBorders>
            <w:shd w:val="clear" w:color="auto" w:fill="auto"/>
            <w:tcMar>
              <w:top w:type="dxa" w:w="80"/>
              <w:left w:type="dxa" w:w="80"/>
              <w:bottom w:type="dxa" w:w="80"/>
              <w:right w:type="dxa" w:w="80"/>
            </w:tcMar>
            <w:vAlign w:val="top"/>
          </w:tcPr>
          <w:p>
            <w:pPr>
              <w:pStyle w:val="Body"/>
              <w:spacing w:before="40" w:after="40"/>
              <w:jc w:val="center"/>
            </w:pPr>
            <w:r>
              <w:rPr>
                <w:rFonts w:ascii="Times New Roman" w:hAnsi="Times New Roman"/>
                <w:b w:val="1"/>
                <w:bCs w:val="1"/>
                <w:sz w:val="24"/>
                <w:szCs w:val="24"/>
                <w:shd w:val="nil" w:color="auto" w:fill="auto"/>
                <w:rtl w:val="0"/>
                <w:lang w:val="en-US"/>
              </w:rPr>
              <w:t>1</w:t>
            </w:r>
          </w:p>
        </w:tc>
      </w:tr>
      <w:tr>
        <w:tblPrEx>
          <w:shd w:val="clear" w:color="auto" w:fill="000000"/>
        </w:tblPrEx>
        <w:trPr>
          <w:trHeight w:val="290" w:hRule="atLeast"/>
        </w:trPr>
        <w:tc>
          <w:tcPr>
            <w:tcW w:type="dxa" w:w="7370"/>
            <w:tcBorders>
              <w:top w:val="nil"/>
              <w:left w:val="single" w:color="000000" w:sz="6" w:space="0" w:shadow="0" w:frame="0"/>
              <w:bottom w:val="nil"/>
              <w:right w:val="single" w:color="000000" w:sz="8" w:space="0" w:shadow="0" w:frame="0"/>
            </w:tcBorders>
            <w:shd w:val="clear" w:color="auto" w:fill="auto"/>
            <w:tcMar>
              <w:top w:type="dxa" w:w="80"/>
              <w:left w:type="dxa" w:w="512"/>
              <w:bottom w:type="dxa" w:w="80"/>
              <w:right w:type="dxa" w:w="80"/>
            </w:tcMar>
            <w:vAlign w:val="top"/>
          </w:tcPr>
          <w:p>
            <w:pPr>
              <w:pStyle w:val="Body"/>
              <w:spacing w:before="40" w:after="40"/>
              <w:ind w:left="432" w:firstLine="0"/>
            </w:pPr>
            <w:r>
              <w:rPr>
                <w:rFonts w:ascii="Times New Roman" w:hAnsi="Times New Roman"/>
                <w:sz w:val="24"/>
                <w:szCs w:val="24"/>
                <w:shd w:val="nil" w:color="auto" w:fill="auto"/>
                <w:rtl w:val="0"/>
                <w:lang w:val="en-US"/>
              </w:rPr>
              <w:t>1.1 Overview of the Chapter</w:t>
            </w:r>
          </w:p>
        </w:tc>
        <w:tc>
          <w:tcPr>
            <w:tcW w:type="dxa" w:w="1134"/>
            <w:tcBorders>
              <w:top w:val="nil"/>
              <w:left w:val="single" w:color="000000" w:sz="8" w:space="0" w:shadow="0" w:frame="0"/>
              <w:bottom w:val="nil"/>
              <w:right w:val="single" w:color="000000" w:sz="6" w:space="0" w:shadow="0" w:frame="0"/>
            </w:tcBorders>
            <w:shd w:val="clear" w:color="auto" w:fill="auto"/>
            <w:tcMar>
              <w:top w:type="dxa" w:w="80"/>
              <w:left w:type="dxa" w:w="80"/>
              <w:bottom w:type="dxa" w:w="80"/>
              <w:right w:type="dxa" w:w="80"/>
            </w:tcMar>
            <w:vAlign w:val="top"/>
          </w:tcPr>
          <w:p>
            <w:pPr>
              <w:pStyle w:val="Body"/>
              <w:spacing w:before="40" w:after="40"/>
              <w:jc w:val="center"/>
            </w:pPr>
            <w:r>
              <w:rPr>
                <w:rFonts w:ascii="Times New Roman" w:hAnsi="Times New Roman"/>
                <w:sz w:val="24"/>
                <w:szCs w:val="24"/>
                <w:shd w:val="nil" w:color="auto" w:fill="auto"/>
                <w:rtl w:val="0"/>
                <w:lang w:val="en-US"/>
              </w:rPr>
              <w:t>1</w:t>
            </w:r>
          </w:p>
        </w:tc>
      </w:tr>
      <w:tr>
        <w:tblPrEx>
          <w:shd w:val="clear" w:color="auto" w:fill="000000"/>
        </w:tblPrEx>
        <w:trPr>
          <w:trHeight w:val="290" w:hRule="atLeast"/>
        </w:trPr>
        <w:tc>
          <w:tcPr>
            <w:tcW w:type="dxa" w:w="7370"/>
            <w:tcBorders>
              <w:top w:val="nil"/>
              <w:left w:val="single" w:color="000000" w:sz="6" w:space="0" w:shadow="0" w:frame="0"/>
              <w:bottom w:val="nil"/>
              <w:right w:val="single" w:color="000000" w:sz="8" w:space="0" w:shadow="0" w:frame="0"/>
            </w:tcBorders>
            <w:shd w:val="clear" w:color="auto" w:fill="auto"/>
            <w:tcMar>
              <w:top w:type="dxa" w:w="80"/>
              <w:left w:type="dxa" w:w="512"/>
              <w:bottom w:type="dxa" w:w="80"/>
              <w:right w:type="dxa" w:w="80"/>
            </w:tcMar>
            <w:vAlign w:val="top"/>
          </w:tcPr>
          <w:p>
            <w:pPr>
              <w:pStyle w:val="Body"/>
              <w:spacing w:before="40" w:after="40"/>
              <w:ind w:left="432" w:firstLine="0"/>
            </w:pPr>
            <w:r>
              <w:rPr>
                <w:rFonts w:ascii="Times New Roman" w:hAnsi="Times New Roman"/>
                <w:sz w:val="24"/>
                <w:szCs w:val="24"/>
                <w:shd w:val="nil" w:color="auto" w:fill="auto"/>
                <w:rtl w:val="0"/>
                <w:lang w:val="en-US"/>
              </w:rPr>
              <w:t>1.2 Problem Statement</w:t>
            </w:r>
          </w:p>
        </w:tc>
        <w:tc>
          <w:tcPr>
            <w:tcW w:type="dxa" w:w="1134"/>
            <w:tcBorders>
              <w:top w:val="nil"/>
              <w:left w:val="single" w:color="000000" w:sz="8" w:space="0" w:shadow="0" w:frame="0"/>
              <w:bottom w:val="nil"/>
              <w:right w:val="single" w:color="000000" w:sz="6" w:space="0" w:shadow="0" w:frame="0"/>
            </w:tcBorders>
            <w:shd w:val="clear" w:color="auto" w:fill="auto"/>
            <w:tcMar>
              <w:top w:type="dxa" w:w="80"/>
              <w:left w:type="dxa" w:w="80"/>
              <w:bottom w:type="dxa" w:w="80"/>
              <w:right w:type="dxa" w:w="80"/>
            </w:tcMar>
            <w:vAlign w:val="top"/>
          </w:tcPr>
          <w:p>
            <w:pPr>
              <w:pStyle w:val="Body"/>
              <w:spacing w:before="40" w:after="40"/>
              <w:jc w:val="center"/>
            </w:pPr>
            <w:r>
              <w:rPr>
                <w:rFonts w:ascii="Times New Roman" w:hAnsi="Times New Roman"/>
                <w:sz w:val="24"/>
                <w:szCs w:val="24"/>
                <w:shd w:val="nil" w:color="auto" w:fill="auto"/>
                <w:rtl w:val="0"/>
                <w:lang w:val="en-US"/>
              </w:rPr>
              <w:t>2</w:t>
            </w:r>
          </w:p>
        </w:tc>
      </w:tr>
      <w:tr>
        <w:tblPrEx>
          <w:shd w:val="clear" w:color="auto" w:fill="000000"/>
        </w:tblPrEx>
        <w:trPr>
          <w:trHeight w:val="290" w:hRule="atLeast"/>
        </w:trPr>
        <w:tc>
          <w:tcPr>
            <w:tcW w:type="dxa" w:w="7370"/>
            <w:tcBorders>
              <w:top w:val="nil"/>
              <w:left w:val="single" w:color="000000" w:sz="6" w:space="0" w:shadow="0" w:frame="0"/>
              <w:bottom w:val="nil"/>
              <w:right w:val="single" w:color="000000" w:sz="8" w:space="0" w:shadow="0" w:frame="0"/>
            </w:tcBorders>
            <w:shd w:val="clear" w:color="auto" w:fill="auto"/>
            <w:tcMar>
              <w:top w:type="dxa" w:w="80"/>
              <w:left w:type="dxa" w:w="512"/>
              <w:bottom w:type="dxa" w:w="80"/>
              <w:right w:type="dxa" w:w="80"/>
            </w:tcMar>
            <w:vAlign w:val="top"/>
          </w:tcPr>
          <w:p>
            <w:pPr>
              <w:pStyle w:val="Body"/>
              <w:spacing w:before="40" w:after="40"/>
              <w:ind w:left="432" w:firstLine="0"/>
            </w:pPr>
            <w:r>
              <w:rPr>
                <w:rFonts w:ascii="Times New Roman" w:hAnsi="Times New Roman"/>
                <w:sz w:val="24"/>
                <w:szCs w:val="24"/>
                <w:shd w:val="nil" w:color="auto" w:fill="auto"/>
                <w:rtl w:val="0"/>
                <w:lang w:val="en-US"/>
              </w:rPr>
              <w:t>1.3 Aim</w:t>
            </w:r>
          </w:p>
        </w:tc>
        <w:tc>
          <w:tcPr>
            <w:tcW w:type="dxa" w:w="1134"/>
            <w:tcBorders>
              <w:top w:val="nil"/>
              <w:left w:val="single" w:color="000000" w:sz="8" w:space="0" w:shadow="0" w:frame="0"/>
              <w:bottom w:val="nil"/>
              <w:right w:val="single" w:color="000000" w:sz="6" w:space="0" w:shadow="0" w:frame="0"/>
            </w:tcBorders>
            <w:shd w:val="clear" w:color="auto" w:fill="auto"/>
            <w:tcMar>
              <w:top w:type="dxa" w:w="80"/>
              <w:left w:type="dxa" w:w="80"/>
              <w:bottom w:type="dxa" w:w="80"/>
              <w:right w:type="dxa" w:w="80"/>
            </w:tcMar>
            <w:vAlign w:val="top"/>
          </w:tcPr>
          <w:p>
            <w:pPr>
              <w:pStyle w:val="Body"/>
              <w:spacing w:before="40" w:after="40"/>
              <w:jc w:val="center"/>
            </w:pPr>
            <w:r>
              <w:rPr>
                <w:rFonts w:ascii="Times New Roman" w:hAnsi="Times New Roman"/>
                <w:sz w:val="24"/>
                <w:szCs w:val="24"/>
                <w:rtl w:val="0"/>
                <w:lang w:val="en-US"/>
              </w:rPr>
              <w:t>2</w:t>
            </w:r>
          </w:p>
        </w:tc>
      </w:tr>
      <w:tr>
        <w:tblPrEx>
          <w:shd w:val="clear" w:color="auto" w:fill="000000"/>
        </w:tblPrEx>
        <w:trPr>
          <w:trHeight w:val="290" w:hRule="atLeast"/>
        </w:trPr>
        <w:tc>
          <w:tcPr>
            <w:tcW w:type="dxa" w:w="7370"/>
            <w:tcBorders>
              <w:top w:val="nil"/>
              <w:left w:val="single" w:color="000000" w:sz="6" w:space="0" w:shadow="0" w:frame="0"/>
              <w:bottom w:val="nil"/>
              <w:right w:val="single" w:color="000000" w:sz="8" w:space="0" w:shadow="0" w:frame="0"/>
            </w:tcBorders>
            <w:shd w:val="clear" w:color="auto" w:fill="auto"/>
            <w:tcMar>
              <w:top w:type="dxa" w:w="80"/>
              <w:left w:type="dxa" w:w="512"/>
              <w:bottom w:type="dxa" w:w="80"/>
              <w:right w:type="dxa" w:w="80"/>
            </w:tcMar>
            <w:vAlign w:val="top"/>
          </w:tcPr>
          <w:p>
            <w:pPr>
              <w:pStyle w:val="Body"/>
              <w:spacing w:before="40" w:after="40"/>
              <w:ind w:left="432" w:firstLine="0"/>
            </w:pPr>
            <w:r>
              <w:rPr>
                <w:rFonts w:ascii="Times New Roman" w:hAnsi="Times New Roman"/>
                <w:sz w:val="24"/>
                <w:szCs w:val="24"/>
                <w:shd w:val="nil" w:color="auto" w:fill="auto"/>
                <w:rtl w:val="0"/>
                <w:lang w:val="en-US"/>
              </w:rPr>
              <w:t>1.4 Objectives</w:t>
            </w:r>
          </w:p>
        </w:tc>
        <w:tc>
          <w:tcPr>
            <w:tcW w:type="dxa" w:w="1134"/>
            <w:tcBorders>
              <w:top w:val="nil"/>
              <w:left w:val="single" w:color="000000" w:sz="8" w:space="0" w:shadow="0" w:frame="0"/>
              <w:bottom w:val="nil"/>
              <w:right w:val="single" w:color="000000" w:sz="6" w:space="0" w:shadow="0" w:frame="0"/>
            </w:tcBorders>
            <w:shd w:val="clear" w:color="auto" w:fill="auto"/>
            <w:tcMar>
              <w:top w:type="dxa" w:w="80"/>
              <w:left w:type="dxa" w:w="80"/>
              <w:bottom w:type="dxa" w:w="80"/>
              <w:right w:type="dxa" w:w="80"/>
            </w:tcMar>
            <w:vAlign w:val="top"/>
          </w:tcPr>
          <w:p>
            <w:pPr>
              <w:pStyle w:val="Body"/>
              <w:spacing w:before="40" w:after="40"/>
              <w:jc w:val="center"/>
            </w:pPr>
            <w:r>
              <w:rPr>
                <w:rFonts w:ascii="Times New Roman" w:hAnsi="Times New Roman"/>
                <w:sz w:val="24"/>
                <w:szCs w:val="24"/>
                <w:shd w:val="nil" w:color="auto" w:fill="auto"/>
                <w:rtl w:val="0"/>
                <w:lang w:val="en-US"/>
              </w:rPr>
              <w:t>3</w:t>
            </w:r>
          </w:p>
        </w:tc>
      </w:tr>
      <w:tr>
        <w:tblPrEx>
          <w:shd w:val="clear" w:color="auto" w:fill="000000"/>
        </w:tblPrEx>
        <w:trPr>
          <w:trHeight w:val="290" w:hRule="atLeast"/>
        </w:trPr>
        <w:tc>
          <w:tcPr>
            <w:tcW w:type="dxa" w:w="7370"/>
            <w:tcBorders>
              <w:top w:val="nil"/>
              <w:left w:val="single" w:color="000000" w:sz="6" w:space="0" w:shadow="0" w:frame="0"/>
              <w:bottom w:val="nil"/>
              <w:right w:val="single" w:color="000000" w:sz="8" w:space="0" w:shadow="0" w:frame="0"/>
            </w:tcBorders>
            <w:shd w:val="clear" w:color="auto" w:fill="auto"/>
            <w:tcMar>
              <w:top w:type="dxa" w:w="80"/>
              <w:left w:type="dxa" w:w="512"/>
              <w:bottom w:type="dxa" w:w="80"/>
              <w:right w:type="dxa" w:w="80"/>
            </w:tcMar>
            <w:vAlign w:val="top"/>
          </w:tcPr>
          <w:p>
            <w:pPr>
              <w:pStyle w:val="Body"/>
              <w:spacing w:before="40" w:after="40"/>
              <w:ind w:left="432" w:firstLine="0"/>
            </w:pPr>
            <w:r>
              <w:rPr>
                <w:rFonts w:ascii="Times New Roman" w:hAnsi="Times New Roman"/>
                <w:sz w:val="24"/>
                <w:szCs w:val="24"/>
                <w:shd w:val="nil" w:color="auto" w:fill="auto"/>
                <w:rtl w:val="0"/>
                <w:lang w:val="en-US"/>
              </w:rPr>
              <w:t>1.5 Applications</w:t>
            </w:r>
          </w:p>
        </w:tc>
        <w:tc>
          <w:tcPr>
            <w:tcW w:type="dxa" w:w="1134"/>
            <w:tcBorders>
              <w:top w:val="nil"/>
              <w:left w:val="single" w:color="000000" w:sz="8" w:space="0" w:shadow="0" w:frame="0"/>
              <w:bottom w:val="nil"/>
              <w:right w:val="single" w:color="000000" w:sz="6" w:space="0" w:shadow="0" w:frame="0"/>
            </w:tcBorders>
            <w:shd w:val="clear" w:color="auto" w:fill="auto"/>
            <w:tcMar>
              <w:top w:type="dxa" w:w="80"/>
              <w:left w:type="dxa" w:w="80"/>
              <w:bottom w:type="dxa" w:w="80"/>
              <w:right w:type="dxa" w:w="80"/>
            </w:tcMar>
            <w:vAlign w:val="top"/>
          </w:tcPr>
          <w:p>
            <w:pPr>
              <w:pStyle w:val="Body"/>
              <w:spacing w:before="40" w:after="40"/>
              <w:jc w:val="center"/>
            </w:pPr>
            <w:r>
              <w:rPr>
                <w:rFonts w:ascii="Times New Roman" w:hAnsi="Times New Roman"/>
                <w:sz w:val="24"/>
                <w:szCs w:val="24"/>
                <w:rtl w:val="0"/>
                <w:lang w:val="en-US"/>
              </w:rPr>
              <w:t>3-4</w:t>
            </w:r>
          </w:p>
        </w:tc>
      </w:tr>
      <w:tr>
        <w:tblPrEx>
          <w:shd w:val="clear" w:color="auto" w:fill="000000"/>
        </w:tblPrEx>
        <w:trPr>
          <w:trHeight w:val="290" w:hRule="atLeast"/>
        </w:trPr>
        <w:tc>
          <w:tcPr>
            <w:tcW w:type="dxa" w:w="7370"/>
            <w:tcBorders>
              <w:top w:val="nil"/>
              <w:left w:val="single" w:color="000000" w:sz="6" w:space="0" w:shadow="0" w:frame="0"/>
              <w:bottom w:val="nil"/>
              <w:right w:val="single" w:color="000000" w:sz="8" w:space="0" w:shadow="0" w:frame="0"/>
            </w:tcBorders>
            <w:shd w:val="clear" w:color="auto" w:fill="auto"/>
            <w:tcMar>
              <w:top w:type="dxa" w:w="80"/>
              <w:left w:type="dxa" w:w="512"/>
              <w:bottom w:type="dxa" w:w="80"/>
              <w:right w:type="dxa" w:w="80"/>
            </w:tcMar>
            <w:vAlign w:val="top"/>
          </w:tcPr>
          <w:p>
            <w:pPr>
              <w:pStyle w:val="Body"/>
              <w:spacing w:before="40" w:after="40"/>
              <w:ind w:left="432" w:firstLine="0"/>
            </w:pPr>
            <w:r>
              <w:rPr>
                <w:rFonts w:ascii="Times New Roman" w:hAnsi="Times New Roman"/>
                <w:sz w:val="24"/>
                <w:szCs w:val="24"/>
                <w:shd w:val="nil" w:color="auto" w:fill="auto"/>
                <w:rtl w:val="0"/>
                <w:lang w:val="en-US"/>
              </w:rPr>
              <w:t>1.6 Existing Solutions</w:t>
            </w:r>
          </w:p>
        </w:tc>
        <w:tc>
          <w:tcPr>
            <w:tcW w:type="dxa" w:w="1134"/>
            <w:tcBorders>
              <w:top w:val="nil"/>
              <w:left w:val="single" w:color="000000" w:sz="8" w:space="0" w:shadow="0" w:frame="0"/>
              <w:bottom w:val="nil"/>
              <w:right w:val="single" w:color="000000" w:sz="6" w:space="0" w:shadow="0" w:frame="0"/>
            </w:tcBorders>
            <w:shd w:val="clear" w:color="auto" w:fill="auto"/>
            <w:tcMar>
              <w:top w:type="dxa" w:w="80"/>
              <w:left w:type="dxa" w:w="80"/>
              <w:bottom w:type="dxa" w:w="80"/>
              <w:right w:type="dxa" w:w="80"/>
            </w:tcMar>
            <w:vAlign w:val="top"/>
          </w:tcPr>
          <w:p>
            <w:pPr>
              <w:pStyle w:val="Body"/>
              <w:spacing w:before="40" w:after="40"/>
              <w:jc w:val="center"/>
            </w:pPr>
            <w:r>
              <w:rPr>
                <w:rFonts w:ascii="Times New Roman" w:hAnsi="Times New Roman"/>
                <w:sz w:val="24"/>
                <w:szCs w:val="24"/>
                <w:rtl w:val="0"/>
                <w:lang w:val="en-US"/>
              </w:rPr>
              <w:t>4</w:t>
            </w:r>
          </w:p>
        </w:tc>
      </w:tr>
      <w:tr>
        <w:tblPrEx>
          <w:shd w:val="clear" w:color="auto" w:fill="000000"/>
        </w:tblPrEx>
        <w:trPr>
          <w:trHeight w:val="290" w:hRule="atLeast"/>
        </w:trPr>
        <w:tc>
          <w:tcPr>
            <w:tcW w:type="dxa" w:w="7370"/>
            <w:tcBorders>
              <w:top w:val="nil"/>
              <w:left w:val="single" w:color="000000" w:sz="6" w:space="0" w:shadow="0" w:frame="0"/>
              <w:bottom w:val="nil"/>
              <w:right w:val="single" w:color="000000" w:sz="8" w:space="0" w:shadow="0" w:frame="0"/>
            </w:tcBorders>
            <w:shd w:val="clear" w:color="auto" w:fill="auto"/>
            <w:tcMar>
              <w:top w:type="dxa" w:w="80"/>
              <w:left w:type="dxa" w:w="512"/>
              <w:bottom w:type="dxa" w:w="80"/>
              <w:right w:type="dxa" w:w="80"/>
            </w:tcMar>
            <w:vAlign w:val="top"/>
          </w:tcPr>
          <w:p>
            <w:pPr>
              <w:pStyle w:val="Body"/>
              <w:spacing w:before="40" w:after="40"/>
              <w:ind w:left="432" w:firstLine="0"/>
            </w:pPr>
            <w:r>
              <w:rPr>
                <w:rFonts w:ascii="Times New Roman" w:hAnsi="Times New Roman"/>
                <w:sz w:val="24"/>
                <w:szCs w:val="24"/>
                <w:shd w:val="nil" w:color="auto" w:fill="auto"/>
                <w:rtl w:val="0"/>
                <w:lang w:val="en-US"/>
              </w:rPr>
              <w:t>1.7 Proposed Solution</w:t>
            </w:r>
          </w:p>
        </w:tc>
        <w:tc>
          <w:tcPr>
            <w:tcW w:type="dxa" w:w="1134"/>
            <w:tcBorders>
              <w:top w:val="nil"/>
              <w:left w:val="single" w:color="000000" w:sz="8" w:space="0" w:shadow="0" w:frame="0"/>
              <w:bottom w:val="nil"/>
              <w:right w:val="single" w:color="000000" w:sz="6" w:space="0" w:shadow="0" w:frame="0"/>
            </w:tcBorders>
            <w:shd w:val="clear" w:color="auto" w:fill="auto"/>
            <w:tcMar>
              <w:top w:type="dxa" w:w="80"/>
              <w:left w:type="dxa" w:w="80"/>
              <w:bottom w:type="dxa" w:w="80"/>
              <w:right w:type="dxa" w:w="80"/>
            </w:tcMar>
            <w:vAlign w:val="top"/>
          </w:tcPr>
          <w:p>
            <w:pPr>
              <w:pStyle w:val="Body"/>
              <w:spacing w:before="40" w:after="40"/>
              <w:jc w:val="center"/>
            </w:pPr>
            <w:r>
              <w:rPr>
                <w:rFonts w:ascii="Times New Roman" w:hAnsi="Times New Roman"/>
                <w:sz w:val="24"/>
                <w:szCs w:val="24"/>
                <w:rtl w:val="0"/>
                <w:lang w:val="en-US"/>
              </w:rPr>
              <w:t>5</w:t>
            </w:r>
          </w:p>
        </w:tc>
      </w:tr>
      <w:tr>
        <w:tblPrEx>
          <w:shd w:val="clear" w:color="auto" w:fill="000000"/>
        </w:tblPrEx>
        <w:trPr>
          <w:trHeight w:val="290" w:hRule="atLeast"/>
        </w:trPr>
        <w:tc>
          <w:tcPr>
            <w:tcW w:type="dxa" w:w="7370"/>
            <w:tcBorders>
              <w:top w:val="nil"/>
              <w:left w:val="single" w:color="000000" w:sz="6" w:space="0" w:shadow="0" w:frame="0"/>
              <w:bottom w:val="nil"/>
              <w:right w:val="single" w:color="000000" w:sz="8" w:space="0" w:shadow="0" w:frame="0"/>
            </w:tcBorders>
            <w:shd w:val="clear" w:color="auto" w:fill="auto"/>
            <w:tcMar>
              <w:top w:type="dxa" w:w="80"/>
              <w:left w:type="dxa" w:w="512"/>
              <w:bottom w:type="dxa" w:w="80"/>
              <w:right w:type="dxa" w:w="80"/>
            </w:tcMar>
            <w:vAlign w:val="top"/>
          </w:tcPr>
          <w:p>
            <w:pPr>
              <w:pStyle w:val="Body"/>
              <w:spacing w:before="40" w:after="40"/>
              <w:ind w:left="432" w:firstLine="0"/>
            </w:pPr>
            <w:r>
              <w:rPr>
                <w:rFonts w:ascii="Times New Roman" w:hAnsi="Times New Roman"/>
                <w:sz w:val="24"/>
                <w:szCs w:val="24"/>
                <w:shd w:val="nil" w:color="auto" w:fill="auto"/>
                <w:rtl w:val="0"/>
                <w:lang w:val="en-US"/>
              </w:rPr>
              <w:t>1.8 Gantt Chart</w:t>
            </w:r>
          </w:p>
        </w:tc>
        <w:tc>
          <w:tcPr>
            <w:tcW w:type="dxa" w:w="1134"/>
            <w:tcBorders>
              <w:top w:val="nil"/>
              <w:left w:val="single" w:color="000000" w:sz="8" w:space="0" w:shadow="0" w:frame="0"/>
              <w:bottom w:val="nil"/>
              <w:right w:val="single" w:color="000000" w:sz="6" w:space="0" w:shadow="0" w:frame="0"/>
            </w:tcBorders>
            <w:shd w:val="clear" w:color="auto" w:fill="auto"/>
            <w:tcMar>
              <w:top w:type="dxa" w:w="80"/>
              <w:left w:type="dxa" w:w="80"/>
              <w:bottom w:type="dxa" w:w="80"/>
              <w:right w:type="dxa" w:w="80"/>
            </w:tcMar>
            <w:vAlign w:val="top"/>
          </w:tcPr>
          <w:p>
            <w:pPr>
              <w:pStyle w:val="Body"/>
              <w:spacing w:before="40" w:after="40"/>
              <w:jc w:val="center"/>
            </w:pPr>
            <w:r>
              <w:rPr>
                <w:rFonts w:ascii="Times New Roman" w:hAnsi="Times New Roman"/>
                <w:sz w:val="24"/>
                <w:szCs w:val="24"/>
                <w:rtl w:val="0"/>
                <w:lang w:val="en-US"/>
              </w:rPr>
              <w:t>6</w:t>
            </w:r>
          </w:p>
        </w:tc>
      </w:tr>
      <w:tr>
        <w:tblPrEx>
          <w:shd w:val="clear" w:color="auto" w:fill="000000"/>
        </w:tblPrEx>
        <w:trPr>
          <w:trHeight w:val="290" w:hRule="atLeast"/>
        </w:trPr>
        <w:tc>
          <w:tcPr>
            <w:tcW w:type="dxa" w:w="7370"/>
            <w:tcBorders>
              <w:top w:val="nil"/>
              <w:left w:val="single" w:color="000000" w:sz="6" w:space="0" w:shadow="0" w:frame="0"/>
              <w:bottom w:val="nil"/>
              <w:right w:val="single" w:color="000000" w:sz="8" w:space="0" w:shadow="0" w:frame="0"/>
            </w:tcBorders>
            <w:shd w:val="clear" w:color="auto" w:fill="auto"/>
            <w:tcMar>
              <w:top w:type="dxa" w:w="80"/>
              <w:left w:type="dxa" w:w="80"/>
              <w:bottom w:type="dxa" w:w="80"/>
              <w:right w:type="dxa" w:w="80"/>
            </w:tcMar>
            <w:vAlign w:val="top"/>
          </w:tcPr>
          <w:p>
            <w:pPr>
              <w:pStyle w:val="Body"/>
              <w:spacing w:before="40" w:after="40"/>
            </w:pPr>
            <w:r>
              <w:rPr>
                <w:rFonts w:ascii="Times New Roman" w:hAnsi="Times New Roman"/>
                <w:b w:val="1"/>
                <w:bCs w:val="1"/>
                <w:sz w:val="24"/>
                <w:szCs w:val="24"/>
                <w:shd w:val="nil" w:color="auto" w:fill="auto"/>
                <w:rtl w:val="0"/>
                <w:lang w:val="en-US"/>
              </w:rPr>
              <w:t>Chapter 2: Literature Review with Gap in the Literature</w:t>
            </w:r>
          </w:p>
        </w:tc>
        <w:tc>
          <w:tcPr>
            <w:tcW w:type="dxa" w:w="1134"/>
            <w:tcBorders>
              <w:top w:val="nil"/>
              <w:left w:val="single" w:color="000000" w:sz="8" w:space="0" w:shadow="0" w:frame="0"/>
              <w:bottom w:val="nil"/>
              <w:right w:val="single" w:color="000000" w:sz="6" w:space="0" w:shadow="0" w:frame="0"/>
            </w:tcBorders>
            <w:shd w:val="clear" w:color="auto" w:fill="auto"/>
            <w:tcMar>
              <w:top w:type="dxa" w:w="80"/>
              <w:left w:type="dxa" w:w="80"/>
              <w:bottom w:type="dxa" w:w="80"/>
              <w:right w:type="dxa" w:w="80"/>
            </w:tcMar>
            <w:vAlign w:val="top"/>
          </w:tcPr>
          <w:p>
            <w:pPr>
              <w:pStyle w:val="Body"/>
              <w:spacing w:before="40" w:after="40"/>
              <w:jc w:val="center"/>
            </w:pPr>
            <w:r>
              <w:rPr>
                <w:rFonts w:ascii="Times New Roman" w:hAnsi="Times New Roman"/>
                <w:b w:val="1"/>
                <w:bCs w:val="1"/>
                <w:sz w:val="24"/>
                <w:szCs w:val="24"/>
                <w:rtl w:val="0"/>
                <w:lang w:val="en-US"/>
              </w:rPr>
              <w:t>7</w:t>
            </w:r>
          </w:p>
        </w:tc>
      </w:tr>
      <w:tr>
        <w:tblPrEx>
          <w:shd w:val="clear" w:color="auto" w:fill="000000"/>
        </w:tblPrEx>
        <w:trPr>
          <w:trHeight w:val="290" w:hRule="atLeast"/>
        </w:trPr>
        <w:tc>
          <w:tcPr>
            <w:tcW w:type="dxa" w:w="7370"/>
            <w:tcBorders>
              <w:top w:val="nil"/>
              <w:left w:val="single" w:color="000000" w:sz="6" w:space="0" w:shadow="0" w:frame="0"/>
              <w:bottom w:val="nil"/>
              <w:right w:val="single" w:color="000000" w:sz="8" w:space="0" w:shadow="0" w:frame="0"/>
            </w:tcBorders>
            <w:shd w:val="clear" w:color="auto" w:fill="auto"/>
            <w:tcMar>
              <w:top w:type="dxa" w:w="80"/>
              <w:left w:type="dxa" w:w="512"/>
              <w:bottom w:type="dxa" w:w="80"/>
              <w:right w:type="dxa" w:w="80"/>
            </w:tcMar>
            <w:vAlign w:val="top"/>
          </w:tcPr>
          <w:p>
            <w:pPr>
              <w:pStyle w:val="Body"/>
              <w:spacing w:before="40" w:after="40"/>
              <w:ind w:left="432" w:firstLine="0"/>
            </w:pPr>
            <w:r>
              <w:rPr>
                <w:rFonts w:ascii="Times New Roman" w:hAnsi="Times New Roman"/>
                <w:sz w:val="24"/>
                <w:szCs w:val="24"/>
                <w:shd w:val="nil" w:color="auto" w:fill="auto"/>
                <w:rtl w:val="0"/>
                <w:lang w:val="en-US"/>
              </w:rPr>
              <w:t xml:space="preserve">2.1 </w:t>
            </w:r>
            <w:r>
              <w:rPr>
                <w:rFonts w:ascii="Times New Roman" w:hAnsi="Times New Roman" w:hint="default"/>
                <w:sz w:val="24"/>
                <w:szCs w:val="24"/>
                <w:shd w:val="nil" w:color="auto" w:fill="auto"/>
                <w:rtl w:val="0"/>
                <w:lang w:val="en-US"/>
              </w:rPr>
              <w:t xml:space="preserve">– </w:t>
            </w:r>
            <w:r>
              <w:rPr>
                <w:rFonts w:ascii="Times New Roman" w:hAnsi="Times New Roman"/>
                <w:sz w:val="24"/>
                <w:szCs w:val="24"/>
                <w:shd w:val="nil" w:color="auto" w:fill="auto"/>
                <w:rtl w:val="0"/>
                <w:lang w:val="en-US"/>
              </w:rPr>
              <w:t>2.7  Literature Sections</w:t>
            </w:r>
          </w:p>
        </w:tc>
        <w:tc>
          <w:tcPr>
            <w:tcW w:type="dxa" w:w="1134"/>
            <w:tcBorders>
              <w:top w:val="nil"/>
              <w:left w:val="single" w:color="000000" w:sz="8" w:space="0" w:shadow="0" w:frame="0"/>
              <w:bottom w:val="nil"/>
              <w:right w:val="single" w:color="000000" w:sz="6" w:space="0" w:shadow="0" w:frame="0"/>
            </w:tcBorders>
            <w:shd w:val="clear" w:color="auto" w:fill="auto"/>
            <w:tcMar>
              <w:top w:type="dxa" w:w="80"/>
              <w:left w:type="dxa" w:w="80"/>
              <w:bottom w:type="dxa" w:w="80"/>
              <w:right w:type="dxa" w:w="80"/>
            </w:tcMar>
            <w:vAlign w:val="top"/>
          </w:tcPr>
          <w:p>
            <w:pPr>
              <w:pStyle w:val="Body"/>
              <w:spacing w:before="40" w:after="40"/>
              <w:jc w:val="center"/>
            </w:pPr>
            <w:r>
              <w:rPr>
                <w:rFonts w:ascii="Times New Roman" w:hAnsi="Times New Roman"/>
                <w:sz w:val="24"/>
                <w:szCs w:val="24"/>
                <w:rtl w:val="0"/>
                <w:lang w:val="en-US"/>
              </w:rPr>
              <w:t>7-10</w:t>
            </w:r>
          </w:p>
        </w:tc>
      </w:tr>
      <w:tr>
        <w:tblPrEx>
          <w:shd w:val="clear" w:color="auto" w:fill="000000"/>
        </w:tblPrEx>
        <w:trPr>
          <w:trHeight w:val="290" w:hRule="atLeast"/>
        </w:trPr>
        <w:tc>
          <w:tcPr>
            <w:tcW w:type="dxa" w:w="7370"/>
            <w:tcBorders>
              <w:top w:val="nil"/>
              <w:left w:val="single" w:color="000000" w:sz="6" w:space="0" w:shadow="0" w:frame="0"/>
              <w:bottom w:val="nil"/>
              <w:right w:val="single" w:color="000000" w:sz="8" w:space="0" w:shadow="0" w:frame="0"/>
            </w:tcBorders>
            <w:shd w:val="clear" w:color="auto" w:fill="auto"/>
            <w:tcMar>
              <w:top w:type="dxa" w:w="80"/>
              <w:left w:type="dxa" w:w="512"/>
              <w:bottom w:type="dxa" w:w="80"/>
              <w:right w:type="dxa" w:w="80"/>
            </w:tcMar>
            <w:vAlign w:val="top"/>
          </w:tcPr>
          <w:p>
            <w:pPr>
              <w:pStyle w:val="Body"/>
              <w:spacing w:before="40" w:after="40"/>
              <w:ind w:left="432" w:firstLine="0"/>
            </w:pPr>
            <w:r>
              <w:rPr>
                <w:rFonts w:ascii="Times New Roman" w:hAnsi="Times New Roman"/>
                <w:sz w:val="24"/>
                <w:szCs w:val="24"/>
                <w:shd w:val="nil" w:color="auto" w:fill="auto"/>
                <w:rtl w:val="0"/>
                <w:lang w:val="en-US"/>
              </w:rPr>
              <w:t>2.8 Limitations of the Present Work</w:t>
            </w:r>
          </w:p>
        </w:tc>
        <w:tc>
          <w:tcPr>
            <w:tcW w:type="dxa" w:w="1134"/>
            <w:tcBorders>
              <w:top w:val="nil"/>
              <w:left w:val="single" w:color="000000" w:sz="8" w:space="0" w:shadow="0" w:frame="0"/>
              <w:bottom w:val="nil"/>
              <w:right w:val="single" w:color="000000" w:sz="6" w:space="0" w:shadow="0" w:frame="0"/>
            </w:tcBorders>
            <w:shd w:val="clear" w:color="auto" w:fill="auto"/>
            <w:tcMar>
              <w:top w:type="dxa" w:w="80"/>
              <w:left w:type="dxa" w:w="80"/>
              <w:bottom w:type="dxa" w:w="80"/>
              <w:right w:type="dxa" w:w="80"/>
            </w:tcMar>
            <w:vAlign w:val="top"/>
          </w:tcPr>
          <w:p>
            <w:pPr>
              <w:pStyle w:val="Body"/>
              <w:spacing w:before="40" w:after="40"/>
              <w:jc w:val="center"/>
            </w:pPr>
            <w:r>
              <w:rPr>
                <w:rFonts w:ascii="Times New Roman" w:hAnsi="Times New Roman"/>
                <w:sz w:val="24"/>
                <w:szCs w:val="24"/>
                <w:rtl w:val="0"/>
                <w:lang w:val="en-US"/>
              </w:rPr>
              <w:t>11</w:t>
            </w:r>
          </w:p>
        </w:tc>
      </w:tr>
      <w:tr>
        <w:tblPrEx>
          <w:shd w:val="clear" w:color="auto" w:fill="000000"/>
        </w:tblPrEx>
        <w:trPr>
          <w:trHeight w:val="290" w:hRule="atLeast"/>
        </w:trPr>
        <w:tc>
          <w:tcPr>
            <w:tcW w:type="dxa" w:w="7370"/>
            <w:tcBorders>
              <w:top w:val="nil"/>
              <w:left w:val="single" w:color="000000" w:sz="6" w:space="0" w:shadow="0" w:frame="0"/>
              <w:bottom w:val="nil"/>
              <w:right w:val="single" w:color="000000" w:sz="8" w:space="0" w:shadow="0" w:frame="0"/>
            </w:tcBorders>
            <w:shd w:val="clear" w:color="auto" w:fill="auto"/>
            <w:tcMar>
              <w:top w:type="dxa" w:w="80"/>
              <w:left w:type="dxa" w:w="80"/>
              <w:bottom w:type="dxa" w:w="80"/>
              <w:right w:type="dxa" w:w="80"/>
            </w:tcMar>
            <w:vAlign w:val="top"/>
          </w:tcPr>
          <w:p>
            <w:pPr>
              <w:pStyle w:val="Body"/>
              <w:spacing w:before="40" w:after="40"/>
            </w:pPr>
            <w:r>
              <w:rPr>
                <w:rFonts w:ascii="Times New Roman" w:hAnsi="Times New Roman"/>
                <w:b w:val="1"/>
                <w:bCs w:val="1"/>
                <w:sz w:val="24"/>
                <w:szCs w:val="24"/>
                <w:shd w:val="nil" w:color="auto" w:fill="auto"/>
                <w:rtl w:val="0"/>
                <w:lang w:val="en-US"/>
              </w:rPr>
              <w:t>Chapter 3: System Requirements and Analysis</w:t>
            </w:r>
          </w:p>
        </w:tc>
        <w:tc>
          <w:tcPr>
            <w:tcW w:type="dxa" w:w="1134"/>
            <w:tcBorders>
              <w:top w:val="nil"/>
              <w:left w:val="single" w:color="000000" w:sz="8" w:space="0" w:shadow="0" w:frame="0"/>
              <w:bottom w:val="nil"/>
              <w:right w:val="single" w:color="000000" w:sz="6" w:space="0" w:shadow="0" w:frame="0"/>
            </w:tcBorders>
            <w:shd w:val="clear" w:color="auto" w:fill="auto"/>
            <w:tcMar>
              <w:top w:type="dxa" w:w="80"/>
              <w:left w:type="dxa" w:w="80"/>
              <w:bottom w:type="dxa" w:w="80"/>
              <w:right w:type="dxa" w:w="80"/>
            </w:tcMar>
            <w:vAlign w:val="top"/>
          </w:tcPr>
          <w:p>
            <w:pPr>
              <w:pStyle w:val="Body"/>
              <w:spacing w:before="40" w:after="40"/>
              <w:jc w:val="center"/>
            </w:pPr>
            <w:r>
              <w:rPr>
                <w:rFonts w:ascii="Times New Roman" w:hAnsi="Times New Roman"/>
                <w:b w:val="1"/>
                <w:bCs w:val="1"/>
                <w:sz w:val="24"/>
                <w:szCs w:val="24"/>
                <w:shd w:val="nil" w:color="auto" w:fill="auto"/>
                <w:rtl w:val="0"/>
                <w:lang w:val="en-US"/>
              </w:rPr>
              <w:t>1</w:t>
            </w:r>
            <w:r>
              <w:rPr>
                <w:rFonts w:ascii="Times New Roman" w:hAnsi="Times New Roman"/>
                <w:b w:val="1"/>
                <w:bCs w:val="1"/>
                <w:sz w:val="24"/>
                <w:szCs w:val="24"/>
                <w:shd w:val="nil" w:color="auto" w:fill="auto"/>
                <w:rtl w:val="0"/>
                <w:lang w:val="en-US"/>
              </w:rPr>
              <w:t>2</w:t>
            </w:r>
          </w:p>
        </w:tc>
      </w:tr>
      <w:tr>
        <w:tblPrEx>
          <w:shd w:val="clear" w:color="auto" w:fill="000000"/>
        </w:tblPrEx>
        <w:trPr>
          <w:trHeight w:val="290" w:hRule="atLeast"/>
        </w:trPr>
        <w:tc>
          <w:tcPr>
            <w:tcW w:type="dxa" w:w="7370"/>
            <w:tcBorders>
              <w:top w:val="nil"/>
              <w:left w:val="single" w:color="000000" w:sz="6" w:space="0" w:shadow="0" w:frame="0"/>
              <w:bottom w:val="nil"/>
              <w:right w:val="single" w:color="000000" w:sz="8" w:space="0" w:shadow="0" w:frame="0"/>
            </w:tcBorders>
            <w:shd w:val="clear" w:color="auto" w:fill="auto"/>
            <w:tcMar>
              <w:top w:type="dxa" w:w="80"/>
              <w:left w:type="dxa" w:w="512"/>
              <w:bottom w:type="dxa" w:w="80"/>
              <w:right w:type="dxa" w:w="80"/>
            </w:tcMar>
            <w:vAlign w:val="top"/>
          </w:tcPr>
          <w:p>
            <w:pPr>
              <w:pStyle w:val="Body"/>
              <w:spacing w:before="40" w:after="40"/>
              <w:ind w:left="432" w:firstLine="0"/>
            </w:pPr>
            <w:r>
              <w:rPr>
                <w:rFonts w:ascii="Times New Roman" w:hAnsi="Times New Roman"/>
                <w:sz w:val="24"/>
                <w:szCs w:val="24"/>
                <w:shd w:val="nil" w:color="auto" w:fill="auto"/>
                <w:rtl w:val="0"/>
                <w:lang w:val="en-US"/>
              </w:rPr>
              <w:t>3.1 Hardware Requirements</w:t>
            </w:r>
          </w:p>
        </w:tc>
        <w:tc>
          <w:tcPr>
            <w:tcW w:type="dxa" w:w="1134"/>
            <w:tcBorders>
              <w:top w:val="nil"/>
              <w:left w:val="single" w:color="000000" w:sz="8" w:space="0" w:shadow="0" w:frame="0"/>
              <w:bottom w:val="nil"/>
              <w:right w:val="single" w:color="000000" w:sz="6" w:space="0" w:shadow="0" w:frame="0"/>
            </w:tcBorders>
            <w:shd w:val="clear" w:color="auto" w:fill="auto"/>
            <w:tcMar>
              <w:top w:type="dxa" w:w="80"/>
              <w:left w:type="dxa" w:w="80"/>
              <w:bottom w:type="dxa" w:w="80"/>
              <w:right w:type="dxa" w:w="80"/>
            </w:tcMar>
            <w:vAlign w:val="top"/>
          </w:tcPr>
          <w:p>
            <w:pPr>
              <w:pStyle w:val="Body"/>
              <w:spacing w:before="40" w:after="40"/>
              <w:jc w:val="center"/>
            </w:pPr>
            <w:r>
              <w:rPr>
                <w:rFonts w:ascii="Times New Roman" w:hAnsi="Times New Roman"/>
                <w:sz w:val="24"/>
                <w:szCs w:val="24"/>
                <w:shd w:val="nil" w:color="auto" w:fill="auto"/>
                <w:rtl w:val="0"/>
                <w:lang w:val="en-US"/>
              </w:rPr>
              <w:t>1</w:t>
            </w:r>
            <w:r>
              <w:rPr>
                <w:rFonts w:ascii="Times New Roman" w:hAnsi="Times New Roman"/>
                <w:sz w:val="24"/>
                <w:szCs w:val="24"/>
                <w:shd w:val="nil" w:color="auto" w:fill="auto"/>
                <w:rtl w:val="0"/>
                <w:lang w:val="en-US"/>
              </w:rPr>
              <w:t>2</w:t>
            </w:r>
          </w:p>
        </w:tc>
      </w:tr>
      <w:tr>
        <w:tblPrEx>
          <w:shd w:val="clear" w:color="auto" w:fill="000000"/>
        </w:tblPrEx>
        <w:trPr>
          <w:trHeight w:val="290" w:hRule="atLeast"/>
        </w:trPr>
        <w:tc>
          <w:tcPr>
            <w:tcW w:type="dxa" w:w="7370"/>
            <w:tcBorders>
              <w:top w:val="nil"/>
              <w:left w:val="single" w:color="000000" w:sz="6" w:space="0" w:shadow="0" w:frame="0"/>
              <w:bottom w:val="nil"/>
              <w:right w:val="single" w:color="000000" w:sz="8" w:space="0" w:shadow="0" w:frame="0"/>
            </w:tcBorders>
            <w:shd w:val="clear" w:color="auto" w:fill="auto"/>
            <w:tcMar>
              <w:top w:type="dxa" w:w="80"/>
              <w:left w:type="dxa" w:w="512"/>
              <w:bottom w:type="dxa" w:w="80"/>
              <w:right w:type="dxa" w:w="80"/>
            </w:tcMar>
            <w:vAlign w:val="top"/>
          </w:tcPr>
          <w:p>
            <w:pPr>
              <w:pStyle w:val="Body"/>
              <w:spacing w:before="40" w:after="40"/>
              <w:ind w:left="432" w:firstLine="0"/>
            </w:pPr>
            <w:r>
              <w:rPr>
                <w:rFonts w:ascii="Times New Roman" w:hAnsi="Times New Roman"/>
                <w:sz w:val="24"/>
                <w:szCs w:val="24"/>
                <w:shd w:val="nil" w:color="auto" w:fill="auto"/>
                <w:rtl w:val="0"/>
                <w:lang w:val="en-US"/>
              </w:rPr>
              <w:t>3.2 Software Requirements</w:t>
            </w:r>
          </w:p>
        </w:tc>
        <w:tc>
          <w:tcPr>
            <w:tcW w:type="dxa" w:w="1134"/>
            <w:tcBorders>
              <w:top w:val="nil"/>
              <w:left w:val="single" w:color="000000" w:sz="8" w:space="0" w:shadow="0" w:frame="0"/>
              <w:bottom w:val="nil"/>
              <w:right w:val="single" w:color="000000" w:sz="6" w:space="0" w:shadow="0" w:frame="0"/>
            </w:tcBorders>
            <w:shd w:val="clear" w:color="auto" w:fill="auto"/>
            <w:tcMar>
              <w:top w:type="dxa" w:w="80"/>
              <w:left w:type="dxa" w:w="80"/>
              <w:bottom w:type="dxa" w:w="80"/>
              <w:right w:type="dxa" w:w="80"/>
            </w:tcMar>
            <w:vAlign w:val="top"/>
          </w:tcPr>
          <w:p>
            <w:pPr>
              <w:pStyle w:val="Body"/>
              <w:spacing w:before="40" w:after="40"/>
              <w:jc w:val="center"/>
            </w:pPr>
            <w:r>
              <w:rPr>
                <w:rFonts w:ascii="Times New Roman" w:hAnsi="Times New Roman"/>
                <w:sz w:val="24"/>
                <w:szCs w:val="24"/>
                <w:shd w:val="nil" w:color="auto" w:fill="auto"/>
                <w:rtl w:val="0"/>
                <w:lang w:val="en-US"/>
              </w:rPr>
              <w:t>1</w:t>
            </w:r>
            <w:r>
              <w:rPr>
                <w:rFonts w:ascii="Times New Roman" w:hAnsi="Times New Roman"/>
                <w:sz w:val="24"/>
                <w:szCs w:val="24"/>
                <w:shd w:val="nil" w:color="auto" w:fill="auto"/>
                <w:rtl w:val="0"/>
                <w:lang w:val="en-US"/>
              </w:rPr>
              <w:t>2-13</w:t>
            </w:r>
          </w:p>
        </w:tc>
      </w:tr>
      <w:tr>
        <w:tblPrEx>
          <w:shd w:val="clear" w:color="auto" w:fill="000000"/>
        </w:tblPrEx>
        <w:trPr>
          <w:trHeight w:val="290" w:hRule="atLeast"/>
        </w:trPr>
        <w:tc>
          <w:tcPr>
            <w:tcW w:type="dxa" w:w="7370"/>
            <w:tcBorders>
              <w:top w:val="nil"/>
              <w:left w:val="single" w:color="000000" w:sz="6" w:space="0" w:shadow="0" w:frame="0"/>
              <w:bottom w:val="nil"/>
              <w:right w:val="single" w:color="000000" w:sz="8" w:space="0" w:shadow="0" w:frame="0"/>
            </w:tcBorders>
            <w:shd w:val="clear" w:color="auto" w:fill="auto"/>
            <w:tcMar>
              <w:top w:type="dxa" w:w="80"/>
              <w:left w:type="dxa" w:w="512"/>
              <w:bottom w:type="dxa" w:w="80"/>
              <w:right w:type="dxa" w:w="80"/>
            </w:tcMar>
            <w:vAlign w:val="top"/>
          </w:tcPr>
          <w:p>
            <w:pPr>
              <w:pStyle w:val="Body"/>
              <w:spacing w:before="40" w:after="40"/>
              <w:ind w:left="432" w:firstLine="0"/>
            </w:pPr>
            <w:r>
              <w:rPr>
                <w:rFonts w:ascii="Times New Roman" w:hAnsi="Times New Roman"/>
                <w:sz w:val="24"/>
                <w:szCs w:val="24"/>
                <w:shd w:val="nil" w:color="auto" w:fill="auto"/>
                <w:rtl w:val="0"/>
                <w:lang w:val="en-US"/>
              </w:rPr>
              <w:t>3.3 Functional Requirements</w:t>
            </w:r>
          </w:p>
        </w:tc>
        <w:tc>
          <w:tcPr>
            <w:tcW w:type="dxa" w:w="1134"/>
            <w:tcBorders>
              <w:top w:val="nil"/>
              <w:left w:val="single" w:color="000000" w:sz="8" w:space="0" w:shadow="0" w:frame="0"/>
              <w:bottom w:val="nil"/>
              <w:right w:val="single" w:color="000000" w:sz="6" w:space="0" w:shadow="0" w:frame="0"/>
            </w:tcBorders>
            <w:shd w:val="clear" w:color="auto" w:fill="auto"/>
            <w:tcMar>
              <w:top w:type="dxa" w:w="80"/>
              <w:left w:type="dxa" w:w="80"/>
              <w:bottom w:type="dxa" w:w="80"/>
              <w:right w:type="dxa" w:w="80"/>
            </w:tcMar>
            <w:vAlign w:val="top"/>
          </w:tcPr>
          <w:p>
            <w:pPr>
              <w:pStyle w:val="Body"/>
              <w:spacing w:before="40" w:after="40"/>
              <w:jc w:val="center"/>
            </w:pPr>
            <w:r>
              <w:rPr>
                <w:rFonts w:ascii="Times New Roman" w:hAnsi="Times New Roman"/>
                <w:sz w:val="24"/>
                <w:szCs w:val="24"/>
                <w:shd w:val="nil" w:color="auto" w:fill="auto"/>
                <w:rtl w:val="0"/>
                <w:lang w:val="en-US"/>
              </w:rPr>
              <w:t>1</w:t>
            </w:r>
            <w:r>
              <w:rPr>
                <w:rFonts w:ascii="Times New Roman" w:hAnsi="Times New Roman"/>
                <w:sz w:val="24"/>
                <w:szCs w:val="24"/>
                <w:shd w:val="nil" w:color="auto" w:fill="auto"/>
                <w:rtl w:val="0"/>
                <w:lang w:val="en-US"/>
              </w:rPr>
              <w:t>3-14</w:t>
            </w:r>
          </w:p>
        </w:tc>
      </w:tr>
      <w:tr>
        <w:tblPrEx>
          <w:shd w:val="clear" w:color="auto" w:fill="000000"/>
        </w:tblPrEx>
        <w:trPr>
          <w:trHeight w:val="290" w:hRule="atLeast"/>
        </w:trPr>
        <w:tc>
          <w:tcPr>
            <w:tcW w:type="dxa" w:w="7370"/>
            <w:tcBorders>
              <w:top w:val="nil"/>
              <w:left w:val="single" w:color="000000" w:sz="6" w:space="0" w:shadow="0" w:frame="0"/>
              <w:bottom w:val="nil"/>
              <w:right w:val="single" w:color="000000" w:sz="8" w:space="0" w:shadow="0" w:frame="0"/>
            </w:tcBorders>
            <w:shd w:val="clear" w:color="auto" w:fill="auto"/>
            <w:tcMar>
              <w:top w:type="dxa" w:w="80"/>
              <w:left w:type="dxa" w:w="512"/>
              <w:bottom w:type="dxa" w:w="80"/>
              <w:right w:type="dxa" w:w="80"/>
            </w:tcMar>
            <w:vAlign w:val="top"/>
          </w:tcPr>
          <w:p>
            <w:pPr>
              <w:pStyle w:val="Body"/>
              <w:spacing w:before="40" w:after="40"/>
              <w:ind w:left="432" w:firstLine="0"/>
            </w:pPr>
            <w:r>
              <w:rPr>
                <w:rFonts w:ascii="Times New Roman" w:hAnsi="Times New Roman"/>
                <w:sz w:val="24"/>
                <w:szCs w:val="24"/>
                <w:shd w:val="nil" w:color="auto" w:fill="auto"/>
                <w:rtl w:val="0"/>
                <w:lang w:val="en-US"/>
              </w:rPr>
              <w:t>3.4 Non-Functional Requirements</w:t>
            </w:r>
          </w:p>
        </w:tc>
        <w:tc>
          <w:tcPr>
            <w:tcW w:type="dxa" w:w="1134"/>
            <w:tcBorders>
              <w:top w:val="nil"/>
              <w:left w:val="single" w:color="000000" w:sz="8" w:space="0" w:shadow="0" w:frame="0"/>
              <w:bottom w:val="nil"/>
              <w:right w:val="single" w:color="000000" w:sz="6" w:space="0" w:shadow="0" w:frame="0"/>
            </w:tcBorders>
            <w:shd w:val="clear" w:color="auto" w:fill="auto"/>
            <w:tcMar>
              <w:top w:type="dxa" w:w="80"/>
              <w:left w:type="dxa" w:w="80"/>
              <w:bottom w:type="dxa" w:w="80"/>
              <w:right w:type="dxa" w:w="80"/>
            </w:tcMar>
            <w:vAlign w:val="top"/>
          </w:tcPr>
          <w:p>
            <w:pPr>
              <w:pStyle w:val="Body"/>
              <w:spacing w:before="40" w:after="40"/>
              <w:jc w:val="center"/>
            </w:pPr>
            <w:r>
              <w:rPr>
                <w:rFonts w:ascii="Times New Roman" w:hAnsi="Times New Roman"/>
                <w:sz w:val="24"/>
                <w:szCs w:val="24"/>
                <w:shd w:val="nil" w:color="auto" w:fill="auto"/>
                <w:rtl w:val="0"/>
                <w:lang w:val="en-US"/>
              </w:rPr>
              <w:t>1</w:t>
            </w:r>
            <w:r>
              <w:rPr>
                <w:rFonts w:ascii="Times New Roman" w:hAnsi="Times New Roman"/>
                <w:sz w:val="24"/>
                <w:szCs w:val="24"/>
                <w:shd w:val="nil" w:color="auto" w:fill="auto"/>
                <w:rtl w:val="0"/>
                <w:lang w:val="en-US"/>
              </w:rPr>
              <w:t>4</w:t>
            </w:r>
          </w:p>
        </w:tc>
      </w:tr>
      <w:tr>
        <w:tblPrEx>
          <w:shd w:val="clear" w:color="auto" w:fill="000000"/>
        </w:tblPrEx>
        <w:trPr>
          <w:trHeight w:val="290" w:hRule="atLeast"/>
        </w:trPr>
        <w:tc>
          <w:tcPr>
            <w:tcW w:type="dxa" w:w="7370"/>
            <w:tcBorders>
              <w:top w:val="nil"/>
              <w:left w:val="single" w:color="000000" w:sz="6" w:space="0" w:shadow="0" w:frame="0"/>
              <w:bottom w:val="nil"/>
              <w:right w:val="single" w:color="000000" w:sz="8" w:space="0" w:shadow="0" w:frame="0"/>
            </w:tcBorders>
            <w:shd w:val="clear" w:color="auto" w:fill="auto"/>
            <w:tcMar>
              <w:top w:type="dxa" w:w="80"/>
              <w:left w:type="dxa" w:w="80"/>
              <w:bottom w:type="dxa" w:w="80"/>
              <w:right w:type="dxa" w:w="80"/>
            </w:tcMar>
            <w:vAlign w:val="top"/>
          </w:tcPr>
          <w:p>
            <w:pPr>
              <w:pStyle w:val="Body"/>
              <w:spacing w:before="40" w:after="40"/>
            </w:pPr>
            <w:r>
              <w:rPr>
                <w:rFonts w:ascii="Times New Roman" w:hAnsi="Times New Roman"/>
                <w:b w:val="1"/>
                <w:bCs w:val="1"/>
                <w:sz w:val="24"/>
                <w:szCs w:val="24"/>
                <w:shd w:val="nil" w:color="auto" w:fill="auto"/>
                <w:rtl w:val="0"/>
                <w:lang w:val="en-US"/>
              </w:rPr>
              <w:t>Chapter 4: Tools and Technology Used</w:t>
            </w:r>
          </w:p>
        </w:tc>
        <w:tc>
          <w:tcPr>
            <w:tcW w:type="dxa" w:w="1134"/>
            <w:tcBorders>
              <w:top w:val="nil"/>
              <w:left w:val="single" w:color="000000" w:sz="8" w:space="0" w:shadow="0" w:frame="0"/>
              <w:bottom w:val="nil"/>
              <w:right w:val="single" w:color="000000" w:sz="6" w:space="0" w:shadow="0" w:frame="0"/>
            </w:tcBorders>
            <w:shd w:val="clear" w:color="auto" w:fill="auto"/>
            <w:tcMar>
              <w:top w:type="dxa" w:w="80"/>
              <w:left w:type="dxa" w:w="80"/>
              <w:bottom w:type="dxa" w:w="80"/>
              <w:right w:type="dxa" w:w="80"/>
            </w:tcMar>
            <w:vAlign w:val="top"/>
          </w:tcPr>
          <w:p>
            <w:pPr>
              <w:pStyle w:val="Body"/>
              <w:spacing w:before="40" w:after="40"/>
              <w:jc w:val="center"/>
            </w:pPr>
            <w:r>
              <w:rPr>
                <w:rFonts w:ascii="Times New Roman" w:hAnsi="Times New Roman"/>
                <w:b w:val="1"/>
                <w:bCs w:val="1"/>
                <w:sz w:val="24"/>
                <w:szCs w:val="24"/>
                <w:shd w:val="nil" w:color="auto" w:fill="auto"/>
                <w:rtl w:val="0"/>
                <w:lang w:val="en-US"/>
              </w:rPr>
              <w:t>1</w:t>
            </w:r>
            <w:r>
              <w:rPr>
                <w:rFonts w:ascii="Times New Roman" w:hAnsi="Times New Roman"/>
                <w:b w:val="1"/>
                <w:bCs w:val="1"/>
                <w:sz w:val="24"/>
                <w:szCs w:val="24"/>
                <w:shd w:val="nil" w:color="auto" w:fill="auto"/>
                <w:rtl w:val="0"/>
                <w:lang w:val="en-US"/>
              </w:rPr>
              <w:t>5-18</w:t>
            </w:r>
          </w:p>
        </w:tc>
      </w:tr>
      <w:tr>
        <w:tblPrEx>
          <w:shd w:val="clear" w:color="auto" w:fill="000000"/>
        </w:tblPrEx>
        <w:trPr>
          <w:trHeight w:val="290" w:hRule="atLeast"/>
        </w:trPr>
        <w:tc>
          <w:tcPr>
            <w:tcW w:type="dxa" w:w="7370"/>
            <w:tcBorders>
              <w:top w:val="nil"/>
              <w:left w:val="single" w:color="000000" w:sz="6" w:space="0" w:shadow="0" w:frame="0"/>
              <w:bottom w:val="nil"/>
              <w:right w:val="single" w:color="000000" w:sz="8" w:space="0" w:shadow="0" w:frame="0"/>
            </w:tcBorders>
            <w:shd w:val="clear" w:color="auto" w:fill="auto"/>
            <w:tcMar>
              <w:top w:type="dxa" w:w="80"/>
              <w:left w:type="dxa" w:w="80"/>
              <w:bottom w:type="dxa" w:w="80"/>
              <w:right w:type="dxa" w:w="80"/>
            </w:tcMar>
            <w:vAlign w:val="top"/>
          </w:tcPr>
          <w:p>
            <w:pPr>
              <w:pStyle w:val="Body"/>
              <w:spacing w:before="40" w:after="40"/>
            </w:pPr>
            <w:r>
              <w:rPr>
                <w:rFonts w:ascii="Times New Roman" w:hAnsi="Times New Roman"/>
                <w:b w:val="1"/>
                <w:bCs w:val="1"/>
                <w:sz w:val="24"/>
                <w:szCs w:val="24"/>
                <w:shd w:val="nil" w:color="auto" w:fill="auto"/>
                <w:rtl w:val="0"/>
                <w:lang w:val="en-US"/>
              </w:rPr>
              <w:t>Chapter 5: System Design</w:t>
            </w:r>
          </w:p>
        </w:tc>
        <w:tc>
          <w:tcPr>
            <w:tcW w:type="dxa" w:w="1134"/>
            <w:tcBorders>
              <w:top w:val="nil"/>
              <w:left w:val="single" w:color="000000" w:sz="8" w:space="0" w:shadow="0" w:frame="0"/>
              <w:bottom w:val="nil"/>
              <w:right w:val="single" w:color="000000" w:sz="6" w:space="0" w:shadow="0" w:frame="0"/>
            </w:tcBorders>
            <w:shd w:val="clear" w:color="auto" w:fill="auto"/>
            <w:tcMar>
              <w:top w:type="dxa" w:w="80"/>
              <w:left w:type="dxa" w:w="80"/>
              <w:bottom w:type="dxa" w:w="80"/>
              <w:right w:type="dxa" w:w="80"/>
            </w:tcMar>
            <w:vAlign w:val="top"/>
          </w:tcPr>
          <w:p>
            <w:pPr>
              <w:pStyle w:val="Body"/>
              <w:spacing w:before="40" w:after="40"/>
              <w:jc w:val="center"/>
            </w:pPr>
            <w:r>
              <w:rPr>
                <w:rFonts w:ascii="Times New Roman" w:hAnsi="Times New Roman"/>
                <w:b w:val="1"/>
                <w:bCs w:val="1"/>
                <w:sz w:val="24"/>
                <w:szCs w:val="24"/>
                <w:rtl w:val="0"/>
                <w:lang w:val="en-US"/>
              </w:rPr>
              <w:t>19</w:t>
            </w:r>
          </w:p>
        </w:tc>
      </w:tr>
      <w:tr>
        <w:tblPrEx>
          <w:shd w:val="clear" w:color="auto" w:fill="000000"/>
        </w:tblPrEx>
        <w:trPr>
          <w:trHeight w:val="290" w:hRule="atLeast"/>
        </w:trPr>
        <w:tc>
          <w:tcPr>
            <w:tcW w:type="dxa" w:w="7370"/>
            <w:tcBorders>
              <w:top w:val="nil"/>
              <w:left w:val="single" w:color="000000" w:sz="6" w:space="0" w:shadow="0" w:frame="0"/>
              <w:bottom w:val="nil"/>
              <w:right w:val="single" w:color="000000" w:sz="8" w:space="0" w:shadow="0" w:frame="0"/>
            </w:tcBorders>
            <w:shd w:val="clear" w:color="auto" w:fill="auto"/>
            <w:tcMar>
              <w:top w:type="dxa" w:w="80"/>
              <w:left w:type="dxa" w:w="512"/>
              <w:bottom w:type="dxa" w:w="80"/>
              <w:right w:type="dxa" w:w="80"/>
            </w:tcMar>
            <w:vAlign w:val="top"/>
          </w:tcPr>
          <w:p>
            <w:pPr>
              <w:pStyle w:val="Body"/>
              <w:spacing w:before="40" w:after="40"/>
              <w:ind w:left="432" w:firstLine="0"/>
            </w:pPr>
            <w:r>
              <w:rPr>
                <w:rFonts w:ascii="Times New Roman" w:hAnsi="Times New Roman"/>
                <w:sz w:val="24"/>
                <w:szCs w:val="24"/>
                <w:shd w:val="nil" w:color="auto" w:fill="auto"/>
                <w:rtl w:val="0"/>
                <w:lang w:val="en-US"/>
              </w:rPr>
              <w:t>5.1 Overview of System Workflow</w:t>
            </w:r>
          </w:p>
        </w:tc>
        <w:tc>
          <w:tcPr>
            <w:tcW w:type="dxa" w:w="1134"/>
            <w:tcBorders>
              <w:top w:val="nil"/>
              <w:left w:val="single" w:color="000000" w:sz="8" w:space="0" w:shadow="0" w:frame="0"/>
              <w:bottom w:val="nil"/>
              <w:right w:val="single" w:color="000000" w:sz="6" w:space="0" w:shadow="0" w:frame="0"/>
            </w:tcBorders>
            <w:shd w:val="clear" w:color="auto" w:fill="auto"/>
            <w:tcMar>
              <w:top w:type="dxa" w:w="80"/>
              <w:left w:type="dxa" w:w="80"/>
              <w:bottom w:type="dxa" w:w="80"/>
              <w:right w:type="dxa" w:w="80"/>
            </w:tcMar>
            <w:vAlign w:val="top"/>
          </w:tcPr>
          <w:p>
            <w:pPr>
              <w:pStyle w:val="Body"/>
              <w:spacing w:before="40" w:after="40"/>
              <w:jc w:val="center"/>
            </w:pPr>
            <w:r>
              <w:rPr>
                <w:rFonts w:ascii="Times New Roman" w:hAnsi="Times New Roman"/>
                <w:sz w:val="24"/>
                <w:szCs w:val="24"/>
                <w:rtl w:val="0"/>
                <w:lang w:val="en-US"/>
              </w:rPr>
              <w:t>19</w:t>
            </w:r>
          </w:p>
        </w:tc>
      </w:tr>
      <w:tr>
        <w:tblPrEx>
          <w:shd w:val="clear" w:color="auto" w:fill="000000"/>
        </w:tblPrEx>
        <w:trPr>
          <w:trHeight w:val="290" w:hRule="atLeast"/>
        </w:trPr>
        <w:tc>
          <w:tcPr>
            <w:tcW w:type="dxa" w:w="7370"/>
            <w:tcBorders>
              <w:top w:val="nil"/>
              <w:left w:val="single" w:color="000000" w:sz="6" w:space="0" w:shadow="0" w:frame="0"/>
              <w:bottom w:val="nil"/>
              <w:right w:val="single" w:color="000000" w:sz="8" w:space="0" w:shadow="0" w:frame="0"/>
            </w:tcBorders>
            <w:shd w:val="clear" w:color="auto" w:fill="auto"/>
            <w:tcMar>
              <w:top w:type="dxa" w:w="80"/>
              <w:left w:type="dxa" w:w="512"/>
              <w:bottom w:type="dxa" w:w="80"/>
              <w:right w:type="dxa" w:w="80"/>
            </w:tcMar>
            <w:vAlign w:val="top"/>
          </w:tcPr>
          <w:p>
            <w:pPr>
              <w:pStyle w:val="Body"/>
              <w:spacing w:before="40" w:after="40"/>
              <w:ind w:left="432" w:firstLine="0"/>
            </w:pPr>
            <w:r>
              <w:rPr>
                <w:rFonts w:ascii="Times New Roman" w:hAnsi="Times New Roman"/>
                <w:sz w:val="24"/>
                <w:szCs w:val="24"/>
                <w:shd w:val="nil" w:color="auto" w:fill="auto"/>
                <w:rtl w:val="0"/>
                <w:lang w:val="en-US"/>
              </w:rPr>
              <w:t>5.2 System Architecture Layers</w:t>
            </w:r>
          </w:p>
        </w:tc>
        <w:tc>
          <w:tcPr>
            <w:tcW w:type="dxa" w:w="1134"/>
            <w:tcBorders>
              <w:top w:val="nil"/>
              <w:left w:val="single" w:color="000000" w:sz="8" w:space="0" w:shadow="0" w:frame="0"/>
              <w:bottom w:val="nil"/>
              <w:right w:val="single" w:color="000000" w:sz="6" w:space="0" w:shadow="0" w:frame="0"/>
            </w:tcBorders>
            <w:shd w:val="clear" w:color="auto" w:fill="auto"/>
            <w:tcMar>
              <w:top w:type="dxa" w:w="80"/>
              <w:left w:type="dxa" w:w="80"/>
              <w:bottom w:type="dxa" w:w="80"/>
              <w:right w:type="dxa" w:w="80"/>
            </w:tcMar>
            <w:vAlign w:val="top"/>
          </w:tcPr>
          <w:p>
            <w:pPr>
              <w:pStyle w:val="Body"/>
              <w:spacing w:before="40" w:after="40"/>
              <w:jc w:val="center"/>
            </w:pPr>
            <w:r>
              <w:rPr>
                <w:rFonts w:ascii="Times New Roman" w:hAnsi="Times New Roman"/>
                <w:sz w:val="24"/>
                <w:szCs w:val="24"/>
                <w:rtl w:val="0"/>
                <w:lang w:val="en-US"/>
              </w:rPr>
              <w:t>19-22</w:t>
            </w:r>
          </w:p>
        </w:tc>
      </w:tr>
      <w:tr>
        <w:tblPrEx>
          <w:shd w:val="clear" w:color="auto" w:fill="000000"/>
        </w:tblPrEx>
        <w:trPr>
          <w:trHeight w:val="290" w:hRule="atLeast"/>
        </w:trPr>
        <w:tc>
          <w:tcPr>
            <w:tcW w:type="dxa" w:w="7370"/>
            <w:tcBorders>
              <w:top w:val="nil"/>
              <w:left w:val="single" w:color="000000" w:sz="6" w:space="0" w:shadow="0" w:frame="0"/>
              <w:bottom w:val="nil"/>
              <w:right w:val="single" w:color="000000" w:sz="8" w:space="0" w:shadow="0" w:frame="0"/>
            </w:tcBorders>
            <w:shd w:val="clear" w:color="auto" w:fill="auto"/>
            <w:tcMar>
              <w:top w:type="dxa" w:w="80"/>
              <w:left w:type="dxa" w:w="512"/>
              <w:bottom w:type="dxa" w:w="80"/>
              <w:right w:type="dxa" w:w="80"/>
            </w:tcMar>
            <w:vAlign w:val="top"/>
          </w:tcPr>
          <w:p>
            <w:pPr>
              <w:pStyle w:val="Body"/>
              <w:spacing w:before="40" w:after="40"/>
              <w:ind w:left="432" w:firstLine="0"/>
            </w:pPr>
            <w:r>
              <w:rPr>
                <w:rFonts w:ascii="Times New Roman" w:hAnsi="Times New Roman"/>
                <w:sz w:val="24"/>
                <w:szCs w:val="24"/>
                <w:shd w:val="nil" w:color="auto" w:fill="auto"/>
                <w:rtl w:val="0"/>
                <w:lang w:val="en-US"/>
              </w:rPr>
              <w:t>5.3 ACMG Criterion Points</w:t>
            </w:r>
          </w:p>
        </w:tc>
        <w:tc>
          <w:tcPr>
            <w:tcW w:type="dxa" w:w="1134"/>
            <w:tcBorders>
              <w:top w:val="nil"/>
              <w:left w:val="single" w:color="000000" w:sz="8" w:space="0" w:shadow="0" w:frame="0"/>
              <w:bottom w:val="nil"/>
              <w:right w:val="single" w:color="000000" w:sz="6" w:space="0" w:shadow="0" w:frame="0"/>
            </w:tcBorders>
            <w:shd w:val="clear" w:color="auto" w:fill="auto"/>
            <w:tcMar>
              <w:top w:type="dxa" w:w="80"/>
              <w:left w:type="dxa" w:w="80"/>
              <w:bottom w:type="dxa" w:w="80"/>
              <w:right w:type="dxa" w:w="80"/>
            </w:tcMar>
            <w:vAlign w:val="top"/>
          </w:tcPr>
          <w:p>
            <w:pPr>
              <w:pStyle w:val="Body"/>
              <w:spacing w:before="40" w:after="40"/>
              <w:jc w:val="center"/>
            </w:pPr>
            <w:r>
              <w:rPr>
                <w:rFonts w:ascii="Times New Roman" w:hAnsi="Times New Roman"/>
                <w:sz w:val="24"/>
                <w:szCs w:val="24"/>
                <w:rtl w:val="0"/>
                <w:lang w:val="en-US"/>
              </w:rPr>
              <w:t>22</w:t>
            </w:r>
          </w:p>
        </w:tc>
      </w:tr>
      <w:tr>
        <w:tblPrEx>
          <w:shd w:val="clear" w:color="auto" w:fill="000000"/>
        </w:tblPrEx>
        <w:trPr>
          <w:trHeight w:val="290" w:hRule="atLeast"/>
        </w:trPr>
        <w:tc>
          <w:tcPr>
            <w:tcW w:type="dxa" w:w="7370"/>
            <w:tcBorders>
              <w:top w:val="nil"/>
              <w:left w:val="single" w:color="000000" w:sz="6" w:space="0" w:shadow="0" w:frame="0"/>
              <w:bottom w:val="nil"/>
              <w:right w:val="single" w:color="000000" w:sz="8" w:space="0" w:shadow="0" w:frame="0"/>
            </w:tcBorders>
            <w:shd w:val="clear" w:color="auto" w:fill="auto"/>
            <w:tcMar>
              <w:top w:type="dxa" w:w="80"/>
              <w:left w:type="dxa" w:w="512"/>
              <w:bottom w:type="dxa" w:w="80"/>
              <w:right w:type="dxa" w:w="80"/>
            </w:tcMar>
            <w:vAlign w:val="top"/>
          </w:tcPr>
          <w:p>
            <w:pPr>
              <w:pStyle w:val="Body"/>
              <w:spacing w:before="40" w:after="40"/>
              <w:ind w:left="432" w:firstLine="0"/>
            </w:pPr>
            <w:r>
              <w:rPr>
                <w:rFonts w:ascii="Times New Roman" w:hAnsi="Times New Roman"/>
                <w:sz w:val="24"/>
                <w:szCs w:val="24"/>
                <w:shd w:val="nil" w:color="auto" w:fill="auto"/>
                <w:rtl w:val="0"/>
                <w:lang w:val="en-US"/>
              </w:rPr>
              <w:t>5.4 Classification Thresholds</w:t>
            </w:r>
          </w:p>
        </w:tc>
        <w:tc>
          <w:tcPr>
            <w:tcW w:type="dxa" w:w="1134"/>
            <w:tcBorders>
              <w:top w:val="nil"/>
              <w:left w:val="single" w:color="000000" w:sz="8" w:space="0" w:shadow="0" w:frame="0"/>
              <w:bottom w:val="nil"/>
              <w:right w:val="single" w:color="000000" w:sz="6" w:space="0" w:shadow="0" w:frame="0"/>
            </w:tcBorders>
            <w:shd w:val="clear" w:color="auto" w:fill="auto"/>
            <w:tcMar>
              <w:top w:type="dxa" w:w="80"/>
              <w:left w:type="dxa" w:w="80"/>
              <w:bottom w:type="dxa" w:w="80"/>
              <w:right w:type="dxa" w:w="80"/>
            </w:tcMar>
            <w:vAlign w:val="top"/>
          </w:tcPr>
          <w:p>
            <w:pPr>
              <w:pStyle w:val="Body"/>
              <w:spacing w:before="40" w:after="40"/>
              <w:jc w:val="center"/>
            </w:pPr>
            <w:r>
              <w:rPr>
                <w:rFonts w:ascii="Times New Roman" w:hAnsi="Times New Roman"/>
                <w:sz w:val="24"/>
                <w:szCs w:val="24"/>
                <w:rtl w:val="0"/>
                <w:lang w:val="en-US"/>
              </w:rPr>
              <w:t>23</w:t>
            </w:r>
          </w:p>
        </w:tc>
      </w:tr>
      <w:tr>
        <w:tblPrEx>
          <w:shd w:val="clear" w:color="auto" w:fill="000000"/>
        </w:tblPrEx>
        <w:trPr>
          <w:trHeight w:val="290" w:hRule="atLeast"/>
        </w:trPr>
        <w:tc>
          <w:tcPr>
            <w:tcW w:type="dxa" w:w="7370"/>
            <w:tcBorders>
              <w:top w:val="nil"/>
              <w:left w:val="single" w:color="000000" w:sz="6" w:space="0" w:shadow="0" w:frame="0"/>
              <w:bottom w:val="nil"/>
              <w:right w:val="single" w:color="000000" w:sz="8" w:space="0" w:shadow="0" w:frame="0"/>
            </w:tcBorders>
            <w:shd w:val="clear" w:color="auto" w:fill="auto"/>
            <w:tcMar>
              <w:top w:type="dxa" w:w="80"/>
              <w:left w:type="dxa" w:w="512"/>
              <w:bottom w:type="dxa" w:w="80"/>
              <w:right w:type="dxa" w:w="80"/>
            </w:tcMar>
            <w:vAlign w:val="top"/>
          </w:tcPr>
          <w:p>
            <w:pPr>
              <w:pStyle w:val="Body"/>
              <w:spacing w:before="40" w:after="40"/>
              <w:ind w:left="432" w:firstLine="0"/>
            </w:pPr>
            <w:r>
              <w:rPr>
                <w:rFonts w:ascii="Times New Roman" w:hAnsi="Times New Roman"/>
                <w:sz w:val="24"/>
                <w:szCs w:val="24"/>
                <w:shd w:val="nil" w:color="auto" w:fill="auto"/>
                <w:rtl w:val="0"/>
                <w:lang w:val="en-US"/>
              </w:rPr>
              <w:t>5.5 Flow Diagram</w:t>
            </w:r>
          </w:p>
        </w:tc>
        <w:tc>
          <w:tcPr>
            <w:tcW w:type="dxa" w:w="1134"/>
            <w:tcBorders>
              <w:top w:val="nil"/>
              <w:left w:val="single" w:color="000000" w:sz="8" w:space="0" w:shadow="0" w:frame="0"/>
              <w:bottom w:val="nil"/>
              <w:right w:val="single" w:color="000000" w:sz="6" w:space="0" w:shadow="0" w:frame="0"/>
            </w:tcBorders>
            <w:shd w:val="clear" w:color="auto" w:fill="auto"/>
            <w:tcMar>
              <w:top w:type="dxa" w:w="80"/>
              <w:left w:type="dxa" w:w="80"/>
              <w:bottom w:type="dxa" w:w="80"/>
              <w:right w:type="dxa" w:w="80"/>
            </w:tcMar>
            <w:vAlign w:val="top"/>
          </w:tcPr>
          <w:p>
            <w:pPr>
              <w:pStyle w:val="Body"/>
              <w:spacing w:before="40" w:after="40"/>
              <w:jc w:val="center"/>
            </w:pPr>
            <w:r>
              <w:rPr>
                <w:rFonts w:ascii="Times New Roman" w:hAnsi="Times New Roman"/>
                <w:sz w:val="24"/>
                <w:szCs w:val="24"/>
                <w:rtl w:val="0"/>
                <w:lang w:val="en-US"/>
              </w:rPr>
              <w:t>23-26</w:t>
            </w:r>
          </w:p>
        </w:tc>
      </w:tr>
      <w:tr>
        <w:tblPrEx>
          <w:shd w:val="clear" w:color="auto" w:fill="000000"/>
        </w:tblPrEx>
        <w:trPr>
          <w:trHeight w:val="290" w:hRule="atLeast"/>
        </w:trPr>
        <w:tc>
          <w:tcPr>
            <w:tcW w:type="dxa" w:w="7370"/>
            <w:tcBorders>
              <w:top w:val="nil"/>
              <w:left w:val="single" w:color="000000" w:sz="6" w:space="0" w:shadow="0" w:frame="0"/>
              <w:bottom w:val="nil"/>
              <w:right w:val="single" w:color="000000" w:sz="8" w:space="0" w:shadow="0" w:frame="0"/>
            </w:tcBorders>
            <w:shd w:val="clear" w:color="auto" w:fill="auto"/>
            <w:tcMar>
              <w:top w:type="dxa" w:w="80"/>
              <w:left w:type="dxa" w:w="80"/>
              <w:bottom w:type="dxa" w:w="80"/>
              <w:right w:type="dxa" w:w="80"/>
            </w:tcMar>
            <w:vAlign w:val="top"/>
          </w:tcPr>
          <w:p>
            <w:pPr>
              <w:pStyle w:val="Body"/>
              <w:spacing w:before="40" w:after="40"/>
            </w:pPr>
            <w:r>
              <w:rPr>
                <w:rFonts w:ascii="Times New Roman" w:hAnsi="Times New Roman"/>
                <w:b w:val="1"/>
                <w:bCs w:val="1"/>
                <w:sz w:val="24"/>
                <w:szCs w:val="24"/>
                <w:shd w:val="nil" w:color="auto" w:fill="auto"/>
                <w:rtl w:val="0"/>
                <w:lang w:val="en-US"/>
              </w:rPr>
              <w:t>Chapter 6: System Implementation</w:t>
            </w:r>
          </w:p>
        </w:tc>
        <w:tc>
          <w:tcPr>
            <w:tcW w:type="dxa" w:w="1134"/>
            <w:tcBorders>
              <w:top w:val="nil"/>
              <w:left w:val="single" w:color="000000" w:sz="8" w:space="0" w:shadow="0" w:frame="0"/>
              <w:bottom w:val="nil"/>
              <w:right w:val="single" w:color="000000" w:sz="6" w:space="0" w:shadow="0" w:frame="0"/>
            </w:tcBorders>
            <w:shd w:val="clear" w:color="auto" w:fill="auto"/>
            <w:tcMar>
              <w:top w:type="dxa" w:w="80"/>
              <w:left w:type="dxa" w:w="80"/>
              <w:bottom w:type="dxa" w:w="80"/>
              <w:right w:type="dxa" w:w="80"/>
            </w:tcMar>
            <w:vAlign w:val="top"/>
          </w:tcPr>
          <w:p>
            <w:pPr>
              <w:pStyle w:val="Body"/>
              <w:spacing w:before="40" w:after="40"/>
              <w:jc w:val="center"/>
            </w:pPr>
            <w:r>
              <w:rPr>
                <w:rFonts w:ascii="Times New Roman" w:hAnsi="Times New Roman"/>
                <w:b w:val="1"/>
                <w:bCs w:val="1"/>
                <w:sz w:val="24"/>
                <w:szCs w:val="24"/>
                <w:rtl w:val="0"/>
                <w:lang w:val="en-US"/>
              </w:rPr>
              <w:t>27</w:t>
            </w:r>
          </w:p>
        </w:tc>
      </w:tr>
      <w:tr>
        <w:tblPrEx>
          <w:shd w:val="clear" w:color="auto" w:fill="000000"/>
        </w:tblPrEx>
        <w:trPr>
          <w:trHeight w:val="290" w:hRule="atLeast"/>
        </w:trPr>
        <w:tc>
          <w:tcPr>
            <w:tcW w:type="dxa" w:w="7370"/>
            <w:tcBorders>
              <w:top w:val="nil"/>
              <w:left w:val="single" w:color="000000" w:sz="6" w:space="0" w:shadow="0" w:frame="0"/>
              <w:bottom w:val="nil"/>
              <w:right w:val="single" w:color="000000" w:sz="8" w:space="0" w:shadow="0" w:frame="0"/>
            </w:tcBorders>
            <w:shd w:val="clear" w:color="auto" w:fill="auto"/>
            <w:tcMar>
              <w:top w:type="dxa" w:w="80"/>
              <w:left w:type="dxa" w:w="512"/>
              <w:bottom w:type="dxa" w:w="80"/>
              <w:right w:type="dxa" w:w="80"/>
            </w:tcMar>
            <w:vAlign w:val="top"/>
          </w:tcPr>
          <w:p>
            <w:pPr>
              <w:pStyle w:val="Body"/>
              <w:spacing w:before="40" w:after="40"/>
              <w:ind w:left="432" w:firstLine="0"/>
            </w:pPr>
            <w:r>
              <w:rPr>
                <w:rFonts w:ascii="Times New Roman" w:hAnsi="Times New Roman"/>
                <w:sz w:val="24"/>
                <w:szCs w:val="24"/>
                <w:shd w:val="nil" w:color="auto" w:fill="auto"/>
                <w:rtl w:val="0"/>
                <w:lang w:val="en-US"/>
              </w:rPr>
              <w:t>6.1 ML Pipeline Implementation</w:t>
            </w:r>
          </w:p>
        </w:tc>
        <w:tc>
          <w:tcPr>
            <w:tcW w:type="dxa" w:w="1134"/>
            <w:tcBorders>
              <w:top w:val="nil"/>
              <w:left w:val="single" w:color="000000" w:sz="8" w:space="0" w:shadow="0" w:frame="0"/>
              <w:bottom w:val="nil"/>
              <w:right w:val="single" w:color="000000" w:sz="6" w:space="0" w:shadow="0" w:frame="0"/>
            </w:tcBorders>
            <w:shd w:val="clear" w:color="auto" w:fill="auto"/>
            <w:tcMar>
              <w:top w:type="dxa" w:w="80"/>
              <w:left w:type="dxa" w:w="80"/>
              <w:bottom w:type="dxa" w:w="80"/>
              <w:right w:type="dxa" w:w="80"/>
            </w:tcMar>
            <w:vAlign w:val="top"/>
          </w:tcPr>
          <w:p>
            <w:pPr>
              <w:pStyle w:val="Body"/>
              <w:spacing w:before="40" w:after="40"/>
              <w:jc w:val="center"/>
            </w:pPr>
            <w:r>
              <w:rPr>
                <w:rFonts w:ascii="Times New Roman" w:hAnsi="Times New Roman"/>
                <w:sz w:val="24"/>
                <w:szCs w:val="24"/>
                <w:shd w:val="nil" w:color="auto" w:fill="auto"/>
                <w:rtl w:val="0"/>
                <w:lang w:val="en-US"/>
              </w:rPr>
              <w:t>27-31</w:t>
            </w:r>
          </w:p>
        </w:tc>
      </w:tr>
      <w:tr>
        <w:tblPrEx>
          <w:shd w:val="clear" w:color="auto" w:fill="000000"/>
        </w:tblPrEx>
        <w:trPr>
          <w:trHeight w:val="290" w:hRule="atLeast"/>
        </w:trPr>
        <w:tc>
          <w:tcPr>
            <w:tcW w:type="dxa" w:w="7370"/>
            <w:tcBorders>
              <w:top w:val="nil"/>
              <w:left w:val="single" w:color="000000" w:sz="6" w:space="0" w:shadow="0" w:frame="0"/>
              <w:bottom w:val="nil"/>
              <w:right w:val="single" w:color="000000" w:sz="8" w:space="0" w:shadow="0" w:frame="0"/>
            </w:tcBorders>
            <w:shd w:val="clear" w:color="auto" w:fill="auto"/>
            <w:tcMar>
              <w:top w:type="dxa" w:w="80"/>
              <w:left w:type="dxa" w:w="512"/>
              <w:bottom w:type="dxa" w:w="80"/>
              <w:right w:type="dxa" w:w="80"/>
            </w:tcMar>
            <w:vAlign w:val="top"/>
          </w:tcPr>
          <w:p>
            <w:pPr>
              <w:pStyle w:val="Body"/>
              <w:spacing w:before="40" w:after="40"/>
              <w:ind w:left="432" w:firstLine="0"/>
            </w:pPr>
            <w:r>
              <w:rPr>
                <w:rFonts w:ascii="Times New Roman" w:hAnsi="Times New Roman"/>
                <w:sz w:val="24"/>
                <w:szCs w:val="24"/>
                <w:shd w:val="nil" w:color="auto" w:fill="auto"/>
                <w:rtl w:val="0"/>
                <w:lang w:val="en-US"/>
              </w:rPr>
              <w:t>6.2 ACMG Engine Implementation</w:t>
            </w:r>
          </w:p>
        </w:tc>
        <w:tc>
          <w:tcPr>
            <w:tcW w:type="dxa" w:w="1134"/>
            <w:tcBorders>
              <w:top w:val="nil"/>
              <w:left w:val="single" w:color="000000" w:sz="8" w:space="0" w:shadow="0" w:frame="0"/>
              <w:bottom w:val="nil"/>
              <w:right w:val="single" w:color="000000" w:sz="6" w:space="0" w:shadow="0" w:frame="0"/>
            </w:tcBorders>
            <w:shd w:val="clear" w:color="auto" w:fill="auto"/>
            <w:tcMar>
              <w:top w:type="dxa" w:w="80"/>
              <w:left w:type="dxa" w:w="80"/>
              <w:bottom w:type="dxa" w:w="80"/>
              <w:right w:type="dxa" w:w="80"/>
            </w:tcMar>
            <w:vAlign w:val="top"/>
          </w:tcPr>
          <w:p>
            <w:pPr>
              <w:pStyle w:val="Body"/>
              <w:spacing w:before="40" w:after="40"/>
              <w:jc w:val="center"/>
            </w:pPr>
            <w:r>
              <w:rPr>
                <w:rFonts w:ascii="Times New Roman" w:hAnsi="Times New Roman"/>
                <w:sz w:val="24"/>
                <w:szCs w:val="24"/>
                <w:rtl w:val="0"/>
                <w:lang w:val="en-US"/>
              </w:rPr>
              <w:t>32-33</w:t>
            </w:r>
          </w:p>
        </w:tc>
      </w:tr>
      <w:tr>
        <w:tblPrEx>
          <w:shd w:val="clear" w:color="auto" w:fill="000000"/>
        </w:tblPrEx>
        <w:trPr>
          <w:trHeight w:val="290" w:hRule="atLeast"/>
        </w:trPr>
        <w:tc>
          <w:tcPr>
            <w:tcW w:type="dxa" w:w="7370"/>
            <w:tcBorders>
              <w:top w:val="nil"/>
              <w:left w:val="single" w:color="000000" w:sz="6" w:space="0" w:shadow="0" w:frame="0"/>
              <w:bottom w:val="nil"/>
              <w:right w:val="single" w:color="000000" w:sz="8" w:space="0" w:shadow="0" w:frame="0"/>
            </w:tcBorders>
            <w:shd w:val="clear" w:color="auto" w:fill="auto"/>
            <w:tcMar>
              <w:top w:type="dxa" w:w="80"/>
              <w:left w:type="dxa" w:w="512"/>
              <w:bottom w:type="dxa" w:w="80"/>
              <w:right w:type="dxa" w:w="80"/>
            </w:tcMar>
            <w:vAlign w:val="top"/>
          </w:tcPr>
          <w:p>
            <w:pPr>
              <w:pStyle w:val="Body"/>
              <w:spacing w:before="40" w:after="40"/>
              <w:ind w:left="432" w:firstLine="0"/>
            </w:pPr>
            <w:r>
              <w:rPr>
                <w:rFonts w:ascii="Times New Roman" w:hAnsi="Times New Roman"/>
                <w:sz w:val="24"/>
                <w:szCs w:val="24"/>
                <w:shd w:val="nil" w:color="auto" w:fill="auto"/>
                <w:rtl w:val="0"/>
                <w:lang w:val="en-US"/>
              </w:rPr>
              <w:t>6.3 RAG Pipeline Implementation</w:t>
            </w:r>
          </w:p>
        </w:tc>
        <w:tc>
          <w:tcPr>
            <w:tcW w:type="dxa" w:w="1134"/>
            <w:tcBorders>
              <w:top w:val="nil"/>
              <w:left w:val="single" w:color="000000" w:sz="8" w:space="0" w:shadow="0" w:frame="0"/>
              <w:bottom w:val="nil"/>
              <w:right w:val="single" w:color="000000" w:sz="6" w:space="0" w:shadow="0" w:frame="0"/>
            </w:tcBorders>
            <w:shd w:val="clear" w:color="auto" w:fill="auto"/>
            <w:tcMar>
              <w:top w:type="dxa" w:w="80"/>
              <w:left w:type="dxa" w:w="80"/>
              <w:bottom w:type="dxa" w:w="80"/>
              <w:right w:type="dxa" w:w="80"/>
            </w:tcMar>
            <w:vAlign w:val="top"/>
          </w:tcPr>
          <w:p>
            <w:pPr>
              <w:pStyle w:val="Body"/>
              <w:spacing w:before="40" w:after="40"/>
              <w:jc w:val="center"/>
            </w:pPr>
            <w:r>
              <w:rPr>
                <w:rFonts w:ascii="Times New Roman" w:hAnsi="Times New Roman"/>
                <w:sz w:val="24"/>
                <w:szCs w:val="24"/>
                <w:rtl w:val="0"/>
                <w:lang w:val="en-US"/>
              </w:rPr>
              <w:t>33-34</w:t>
            </w:r>
          </w:p>
        </w:tc>
      </w:tr>
      <w:tr>
        <w:tblPrEx>
          <w:shd w:val="clear" w:color="auto" w:fill="000000"/>
        </w:tblPrEx>
        <w:trPr>
          <w:trHeight w:val="290" w:hRule="atLeast"/>
        </w:trPr>
        <w:tc>
          <w:tcPr>
            <w:tcW w:type="dxa" w:w="7370"/>
            <w:tcBorders>
              <w:top w:val="nil"/>
              <w:left w:val="single" w:color="000000" w:sz="6" w:space="0" w:shadow="0" w:frame="0"/>
              <w:bottom w:val="nil"/>
              <w:right w:val="single" w:color="000000" w:sz="8" w:space="0" w:shadow="0" w:frame="0"/>
            </w:tcBorders>
            <w:shd w:val="clear" w:color="auto" w:fill="auto"/>
            <w:tcMar>
              <w:top w:type="dxa" w:w="80"/>
              <w:left w:type="dxa" w:w="512"/>
              <w:bottom w:type="dxa" w:w="80"/>
              <w:right w:type="dxa" w:w="80"/>
            </w:tcMar>
            <w:vAlign w:val="top"/>
          </w:tcPr>
          <w:p>
            <w:pPr>
              <w:pStyle w:val="Body"/>
              <w:spacing w:before="40" w:after="40"/>
              <w:ind w:left="432" w:firstLine="0"/>
            </w:pPr>
            <w:r>
              <w:rPr>
                <w:rFonts w:ascii="Times New Roman" w:hAnsi="Times New Roman"/>
                <w:sz w:val="24"/>
                <w:szCs w:val="24"/>
                <w:shd w:val="nil" w:color="auto" w:fill="auto"/>
                <w:rtl w:val="0"/>
                <w:lang w:val="en-US"/>
              </w:rPr>
              <w:t>6.4 User Interface Implementation</w:t>
            </w:r>
          </w:p>
        </w:tc>
        <w:tc>
          <w:tcPr>
            <w:tcW w:type="dxa" w:w="1134"/>
            <w:tcBorders>
              <w:top w:val="nil"/>
              <w:left w:val="single" w:color="000000" w:sz="8" w:space="0" w:shadow="0" w:frame="0"/>
              <w:bottom w:val="nil"/>
              <w:right w:val="single" w:color="000000" w:sz="6" w:space="0" w:shadow="0" w:frame="0"/>
            </w:tcBorders>
            <w:shd w:val="clear" w:color="auto" w:fill="auto"/>
            <w:tcMar>
              <w:top w:type="dxa" w:w="80"/>
              <w:left w:type="dxa" w:w="80"/>
              <w:bottom w:type="dxa" w:w="80"/>
              <w:right w:type="dxa" w:w="80"/>
            </w:tcMar>
            <w:vAlign w:val="top"/>
          </w:tcPr>
          <w:p>
            <w:pPr>
              <w:pStyle w:val="Body"/>
              <w:spacing w:before="40" w:after="40"/>
              <w:jc w:val="center"/>
            </w:pPr>
            <w:r>
              <w:rPr>
                <w:rFonts w:ascii="Times New Roman" w:hAnsi="Times New Roman"/>
                <w:sz w:val="24"/>
                <w:szCs w:val="24"/>
                <w:rtl w:val="0"/>
                <w:lang w:val="en-US"/>
              </w:rPr>
              <w:t>34-37</w:t>
            </w:r>
          </w:p>
        </w:tc>
      </w:tr>
      <w:tr>
        <w:tblPrEx>
          <w:shd w:val="clear" w:color="auto" w:fill="000000"/>
        </w:tblPrEx>
        <w:trPr>
          <w:trHeight w:val="290" w:hRule="atLeast"/>
        </w:trPr>
        <w:tc>
          <w:tcPr>
            <w:tcW w:type="dxa" w:w="7370"/>
            <w:tcBorders>
              <w:top w:val="nil"/>
              <w:left w:val="single" w:color="000000" w:sz="6" w:space="0" w:shadow="0" w:frame="0"/>
              <w:bottom w:val="nil"/>
              <w:right w:val="single" w:color="000000" w:sz="8" w:space="0" w:shadow="0" w:frame="0"/>
            </w:tcBorders>
            <w:shd w:val="clear" w:color="auto" w:fill="auto"/>
            <w:tcMar>
              <w:top w:type="dxa" w:w="80"/>
              <w:left w:type="dxa" w:w="80"/>
              <w:bottom w:type="dxa" w:w="80"/>
              <w:right w:type="dxa" w:w="80"/>
            </w:tcMar>
            <w:vAlign w:val="top"/>
          </w:tcPr>
          <w:p>
            <w:pPr>
              <w:pStyle w:val="Body"/>
              <w:spacing w:before="40" w:after="40"/>
            </w:pPr>
            <w:r>
              <w:rPr>
                <w:rFonts w:ascii="Times New Roman" w:hAnsi="Times New Roman"/>
                <w:b w:val="1"/>
                <w:bCs w:val="1"/>
                <w:sz w:val="24"/>
                <w:szCs w:val="24"/>
                <w:shd w:val="nil" w:color="auto" w:fill="auto"/>
                <w:rtl w:val="0"/>
                <w:lang w:val="en-US"/>
              </w:rPr>
              <w:t>Chapter 7: Testing and Results</w:t>
            </w:r>
          </w:p>
        </w:tc>
        <w:tc>
          <w:tcPr>
            <w:tcW w:type="dxa" w:w="1134"/>
            <w:tcBorders>
              <w:top w:val="nil"/>
              <w:left w:val="single" w:color="000000" w:sz="8" w:space="0" w:shadow="0" w:frame="0"/>
              <w:bottom w:val="nil"/>
              <w:right w:val="single" w:color="000000" w:sz="6" w:space="0" w:shadow="0" w:frame="0"/>
            </w:tcBorders>
            <w:shd w:val="clear" w:color="auto" w:fill="auto"/>
            <w:tcMar>
              <w:top w:type="dxa" w:w="80"/>
              <w:left w:type="dxa" w:w="80"/>
              <w:bottom w:type="dxa" w:w="80"/>
              <w:right w:type="dxa" w:w="80"/>
            </w:tcMar>
            <w:vAlign w:val="top"/>
          </w:tcPr>
          <w:p>
            <w:pPr>
              <w:pStyle w:val="Body"/>
              <w:spacing w:before="40" w:after="40"/>
              <w:jc w:val="center"/>
            </w:pPr>
            <w:r>
              <w:rPr>
                <w:rFonts w:ascii="Times New Roman" w:hAnsi="Times New Roman"/>
                <w:b w:val="1"/>
                <w:bCs w:val="1"/>
                <w:sz w:val="24"/>
                <w:szCs w:val="24"/>
                <w:rtl w:val="0"/>
                <w:lang w:val="en-US"/>
              </w:rPr>
              <w:t>38</w:t>
            </w:r>
          </w:p>
        </w:tc>
      </w:tr>
      <w:tr>
        <w:tblPrEx>
          <w:shd w:val="clear" w:color="auto" w:fill="000000"/>
        </w:tblPrEx>
        <w:trPr>
          <w:trHeight w:val="290" w:hRule="atLeast"/>
        </w:trPr>
        <w:tc>
          <w:tcPr>
            <w:tcW w:type="dxa" w:w="7370"/>
            <w:tcBorders>
              <w:top w:val="nil"/>
              <w:left w:val="single" w:color="000000" w:sz="6" w:space="0" w:shadow="0" w:frame="0"/>
              <w:bottom w:val="nil"/>
              <w:right w:val="single" w:color="000000" w:sz="8" w:space="0" w:shadow="0" w:frame="0"/>
            </w:tcBorders>
            <w:shd w:val="clear" w:color="auto" w:fill="auto"/>
            <w:tcMar>
              <w:top w:type="dxa" w:w="80"/>
              <w:left w:type="dxa" w:w="512"/>
              <w:bottom w:type="dxa" w:w="80"/>
              <w:right w:type="dxa" w:w="80"/>
            </w:tcMar>
            <w:vAlign w:val="top"/>
          </w:tcPr>
          <w:p>
            <w:pPr>
              <w:pStyle w:val="Body"/>
              <w:spacing w:before="40" w:after="40"/>
              <w:ind w:left="432" w:firstLine="0"/>
            </w:pPr>
            <w:r>
              <w:rPr>
                <w:rFonts w:ascii="Times New Roman" w:hAnsi="Times New Roman"/>
                <w:sz w:val="24"/>
                <w:szCs w:val="24"/>
                <w:shd w:val="nil" w:color="auto" w:fill="auto"/>
                <w:rtl w:val="0"/>
                <w:lang w:val="en-US"/>
              </w:rPr>
              <w:t>7.1 Testing Methodology</w:t>
            </w:r>
          </w:p>
        </w:tc>
        <w:tc>
          <w:tcPr>
            <w:tcW w:type="dxa" w:w="1134"/>
            <w:tcBorders>
              <w:top w:val="nil"/>
              <w:left w:val="single" w:color="000000" w:sz="8" w:space="0" w:shadow="0" w:frame="0"/>
              <w:bottom w:val="nil"/>
              <w:right w:val="single" w:color="000000" w:sz="6" w:space="0" w:shadow="0" w:frame="0"/>
            </w:tcBorders>
            <w:shd w:val="clear" w:color="auto" w:fill="auto"/>
            <w:tcMar>
              <w:top w:type="dxa" w:w="80"/>
              <w:left w:type="dxa" w:w="80"/>
              <w:bottom w:type="dxa" w:w="80"/>
              <w:right w:type="dxa" w:w="80"/>
            </w:tcMar>
            <w:vAlign w:val="top"/>
          </w:tcPr>
          <w:p>
            <w:pPr>
              <w:pStyle w:val="Body"/>
              <w:spacing w:before="40" w:after="40"/>
              <w:jc w:val="center"/>
            </w:pPr>
            <w:r>
              <w:rPr>
                <w:rFonts w:ascii="Times New Roman" w:hAnsi="Times New Roman"/>
                <w:sz w:val="24"/>
                <w:szCs w:val="24"/>
                <w:rtl w:val="0"/>
                <w:lang w:val="en-US"/>
              </w:rPr>
              <w:t>38</w:t>
            </w:r>
          </w:p>
        </w:tc>
      </w:tr>
      <w:tr>
        <w:tblPrEx>
          <w:shd w:val="clear" w:color="auto" w:fill="000000"/>
        </w:tblPrEx>
        <w:trPr>
          <w:trHeight w:val="290" w:hRule="atLeast"/>
        </w:trPr>
        <w:tc>
          <w:tcPr>
            <w:tcW w:type="dxa" w:w="7370"/>
            <w:tcBorders>
              <w:top w:val="nil"/>
              <w:left w:val="single" w:color="000000" w:sz="6" w:space="0" w:shadow="0" w:frame="0"/>
              <w:bottom w:val="nil"/>
              <w:right w:val="single" w:color="000000" w:sz="8" w:space="0" w:shadow="0" w:frame="0"/>
            </w:tcBorders>
            <w:shd w:val="clear" w:color="auto" w:fill="auto"/>
            <w:tcMar>
              <w:top w:type="dxa" w:w="80"/>
              <w:left w:type="dxa" w:w="512"/>
              <w:bottom w:type="dxa" w:w="80"/>
              <w:right w:type="dxa" w:w="80"/>
            </w:tcMar>
            <w:vAlign w:val="top"/>
          </w:tcPr>
          <w:p>
            <w:pPr>
              <w:pStyle w:val="Body"/>
              <w:spacing w:before="40" w:after="40"/>
              <w:ind w:left="432" w:firstLine="0"/>
            </w:pPr>
            <w:r>
              <w:rPr>
                <w:rFonts w:ascii="Times New Roman" w:hAnsi="Times New Roman"/>
                <w:sz w:val="24"/>
                <w:szCs w:val="24"/>
                <w:shd w:val="nil" w:color="auto" w:fill="auto"/>
                <w:rtl w:val="0"/>
                <w:lang w:val="en-US"/>
              </w:rPr>
              <w:t>7.2 Test Fixtures</w:t>
            </w:r>
          </w:p>
        </w:tc>
        <w:tc>
          <w:tcPr>
            <w:tcW w:type="dxa" w:w="1134"/>
            <w:tcBorders>
              <w:top w:val="nil"/>
              <w:left w:val="single" w:color="000000" w:sz="8" w:space="0" w:shadow="0" w:frame="0"/>
              <w:bottom w:val="nil"/>
              <w:right w:val="single" w:color="000000" w:sz="6" w:space="0" w:shadow="0" w:frame="0"/>
            </w:tcBorders>
            <w:shd w:val="clear" w:color="auto" w:fill="auto"/>
            <w:tcMar>
              <w:top w:type="dxa" w:w="80"/>
              <w:left w:type="dxa" w:w="80"/>
              <w:bottom w:type="dxa" w:w="80"/>
              <w:right w:type="dxa" w:w="80"/>
            </w:tcMar>
            <w:vAlign w:val="top"/>
          </w:tcPr>
          <w:p>
            <w:pPr>
              <w:pStyle w:val="Body"/>
              <w:spacing w:before="40" w:after="40"/>
              <w:jc w:val="center"/>
            </w:pPr>
            <w:r>
              <w:rPr>
                <w:rFonts w:ascii="Times New Roman" w:hAnsi="Times New Roman"/>
                <w:sz w:val="24"/>
                <w:szCs w:val="24"/>
                <w:rtl w:val="0"/>
                <w:lang w:val="en-US"/>
              </w:rPr>
              <w:t>38</w:t>
            </w:r>
          </w:p>
        </w:tc>
      </w:tr>
      <w:tr>
        <w:tblPrEx>
          <w:shd w:val="clear" w:color="auto" w:fill="000000"/>
        </w:tblPrEx>
        <w:trPr>
          <w:trHeight w:val="290" w:hRule="atLeast"/>
        </w:trPr>
        <w:tc>
          <w:tcPr>
            <w:tcW w:type="dxa" w:w="7370"/>
            <w:tcBorders>
              <w:top w:val="nil"/>
              <w:left w:val="single" w:color="000000" w:sz="6" w:space="0" w:shadow="0" w:frame="0"/>
              <w:bottom w:val="nil"/>
              <w:right w:val="single" w:color="000000" w:sz="8" w:space="0" w:shadow="0" w:frame="0"/>
            </w:tcBorders>
            <w:shd w:val="clear" w:color="auto" w:fill="auto"/>
            <w:tcMar>
              <w:top w:type="dxa" w:w="80"/>
              <w:left w:type="dxa" w:w="512"/>
              <w:bottom w:type="dxa" w:w="80"/>
              <w:right w:type="dxa" w:w="80"/>
            </w:tcMar>
            <w:vAlign w:val="top"/>
          </w:tcPr>
          <w:p>
            <w:pPr>
              <w:pStyle w:val="Body"/>
              <w:spacing w:before="40" w:after="40"/>
              <w:ind w:left="432" w:firstLine="0"/>
            </w:pPr>
            <w:r>
              <w:rPr>
                <w:rFonts w:ascii="Times New Roman" w:hAnsi="Times New Roman"/>
                <w:sz w:val="24"/>
                <w:szCs w:val="24"/>
                <w:shd w:val="nil" w:color="auto" w:fill="auto"/>
                <w:rtl w:val="0"/>
                <w:lang w:val="en-US"/>
              </w:rPr>
              <w:t>7.3 Smoke Tests</w:t>
            </w:r>
          </w:p>
        </w:tc>
        <w:tc>
          <w:tcPr>
            <w:tcW w:type="dxa" w:w="1134"/>
            <w:tcBorders>
              <w:top w:val="nil"/>
              <w:left w:val="single" w:color="000000" w:sz="8" w:space="0" w:shadow="0" w:frame="0"/>
              <w:bottom w:val="nil"/>
              <w:right w:val="single" w:color="000000" w:sz="6" w:space="0" w:shadow="0" w:frame="0"/>
            </w:tcBorders>
            <w:shd w:val="clear" w:color="auto" w:fill="auto"/>
            <w:tcMar>
              <w:top w:type="dxa" w:w="80"/>
              <w:left w:type="dxa" w:w="80"/>
              <w:bottom w:type="dxa" w:w="80"/>
              <w:right w:type="dxa" w:w="80"/>
            </w:tcMar>
            <w:vAlign w:val="top"/>
          </w:tcPr>
          <w:p>
            <w:pPr>
              <w:pStyle w:val="Body"/>
              <w:spacing w:before="40" w:after="40"/>
              <w:jc w:val="center"/>
            </w:pPr>
            <w:r>
              <w:rPr>
                <w:rFonts w:ascii="Times New Roman" w:hAnsi="Times New Roman"/>
                <w:sz w:val="24"/>
                <w:szCs w:val="24"/>
                <w:rtl w:val="0"/>
                <w:lang w:val="en-US"/>
              </w:rPr>
              <w:t>38</w:t>
            </w:r>
          </w:p>
        </w:tc>
      </w:tr>
      <w:tr>
        <w:tblPrEx>
          <w:shd w:val="clear" w:color="auto" w:fill="000000"/>
        </w:tblPrEx>
        <w:trPr>
          <w:trHeight w:val="290" w:hRule="atLeast"/>
        </w:trPr>
        <w:tc>
          <w:tcPr>
            <w:tcW w:type="dxa" w:w="7370"/>
            <w:tcBorders>
              <w:top w:val="nil"/>
              <w:left w:val="single" w:color="000000" w:sz="6" w:space="0" w:shadow="0" w:frame="0"/>
              <w:bottom w:val="nil"/>
              <w:right w:val="single" w:color="000000" w:sz="8" w:space="0" w:shadow="0" w:frame="0"/>
            </w:tcBorders>
            <w:shd w:val="clear" w:color="auto" w:fill="auto"/>
            <w:tcMar>
              <w:top w:type="dxa" w:w="80"/>
              <w:left w:type="dxa" w:w="512"/>
              <w:bottom w:type="dxa" w:w="80"/>
              <w:right w:type="dxa" w:w="80"/>
            </w:tcMar>
            <w:vAlign w:val="top"/>
          </w:tcPr>
          <w:p>
            <w:pPr>
              <w:pStyle w:val="Body"/>
              <w:spacing w:before="40" w:after="40"/>
              <w:ind w:left="432" w:firstLine="0"/>
            </w:pPr>
            <w:r>
              <w:rPr>
                <w:rFonts w:ascii="Times New Roman" w:hAnsi="Times New Roman"/>
                <w:sz w:val="24"/>
                <w:szCs w:val="24"/>
                <w:shd w:val="nil" w:color="auto" w:fill="auto"/>
                <w:rtl w:val="0"/>
                <w:lang w:val="en-US"/>
              </w:rPr>
              <w:t>7.4 Unit Tests</w:t>
            </w:r>
          </w:p>
        </w:tc>
        <w:tc>
          <w:tcPr>
            <w:tcW w:type="dxa" w:w="1134"/>
            <w:tcBorders>
              <w:top w:val="nil"/>
              <w:left w:val="single" w:color="000000" w:sz="8" w:space="0" w:shadow="0" w:frame="0"/>
              <w:bottom w:val="nil"/>
              <w:right w:val="single" w:color="000000" w:sz="6" w:space="0" w:shadow="0" w:frame="0"/>
            </w:tcBorders>
            <w:shd w:val="clear" w:color="auto" w:fill="auto"/>
            <w:tcMar>
              <w:top w:type="dxa" w:w="80"/>
              <w:left w:type="dxa" w:w="80"/>
              <w:bottom w:type="dxa" w:w="80"/>
              <w:right w:type="dxa" w:w="80"/>
            </w:tcMar>
            <w:vAlign w:val="top"/>
          </w:tcPr>
          <w:p>
            <w:pPr>
              <w:pStyle w:val="Body"/>
              <w:spacing w:before="40" w:after="40"/>
              <w:jc w:val="center"/>
            </w:pPr>
            <w:r>
              <w:rPr>
                <w:rFonts w:ascii="Times New Roman" w:hAnsi="Times New Roman"/>
                <w:sz w:val="24"/>
                <w:szCs w:val="24"/>
                <w:shd w:val="nil" w:color="auto" w:fill="auto"/>
                <w:rtl w:val="0"/>
                <w:lang w:val="en-US"/>
              </w:rPr>
              <w:t>39</w:t>
            </w:r>
          </w:p>
        </w:tc>
      </w:tr>
      <w:tr>
        <w:tblPrEx>
          <w:shd w:val="clear" w:color="auto" w:fill="000000"/>
        </w:tblPrEx>
        <w:trPr>
          <w:trHeight w:val="290" w:hRule="atLeast"/>
        </w:trPr>
        <w:tc>
          <w:tcPr>
            <w:tcW w:type="dxa" w:w="7370"/>
            <w:tcBorders>
              <w:top w:val="nil"/>
              <w:left w:val="single" w:color="000000" w:sz="6" w:space="0" w:shadow="0" w:frame="0"/>
              <w:bottom w:val="nil"/>
              <w:right w:val="single" w:color="000000" w:sz="8" w:space="0" w:shadow="0" w:frame="0"/>
            </w:tcBorders>
            <w:shd w:val="clear" w:color="auto" w:fill="auto"/>
            <w:tcMar>
              <w:top w:type="dxa" w:w="80"/>
              <w:left w:type="dxa" w:w="512"/>
              <w:bottom w:type="dxa" w:w="80"/>
              <w:right w:type="dxa" w:w="80"/>
            </w:tcMar>
            <w:vAlign w:val="top"/>
          </w:tcPr>
          <w:p>
            <w:pPr>
              <w:pStyle w:val="Body"/>
              <w:spacing w:before="40" w:after="40"/>
              <w:ind w:left="432" w:firstLine="0"/>
            </w:pPr>
            <w:r>
              <w:rPr>
                <w:rFonts w:ascii="Times New Roman" w:hAnsi="Times New Roman"/>
                <w:sz w:val="24"/>
                <w:szCs w:val="24"/>
                <w:shd w:val="nil" w:color="auto" w:fill="auto"/>
                <w:rtl w:val="0"/>
                <w:lang w:val="en-US"/>
              </w:rPr>
              <w:t>7.5 Integration Tests</w:t>
            </w:r>
          </w:p>
        </w:tc>
        <w:tc>
          <w:tcPr>
            <w:tcW w:type="dxa" w:w="1134"/>
            <w:tcBorders>
              <w:top w:val="nil"/>
              <w:left w:val="single" w:color="000000" w:sz="8" w:space="0" w:shadow="0" w:frame="0"/>
              <w:bottom w:val="nil"/>
              <w:right w:val="single" w:color="000000" w:sz="6" w:space="0" w:shadow="0" w:frame="0"/>
            </w:tcBorders>
            <w:shd w:val="clear" w:color="auto" w:fill="auto"/>
            <w:tcMar>
              <w:top w:type="dxa" w:w="80"/>
              <w:left w:type="dxa" w:w="80"/>
              <w:bottom w:type="dxa" w:w="80"/>
              <w:right w:type="dxa" w:w="80"/>
            </w:tcMar>
            <w:vAlign w:val="top"/>
          </w:tcPr>
          <w:p>
            <w:pPr>
              <w:pStyle w:val="Body"/>
              <w:spacing w:before="40" w:after="40"/>
              <w:jc w:val="center"/>
            </w:pPr>
            <w:r>
              <w:rPr>
                <w:rFonts w:ascii="Times New Roman" w:hAnsi="Times New Roman"/>
                <w:sz w:val="24"/>
                <w:szCs w:val="24"/>
                <w:rtl w:val="0"/>
                <w:lang w:val="en-US"/>
              </w:rPr>
              <w:t>39</w:t>
            </w:r>
          </w:p>
        </w:tc>
      </w:tr>
      <w:tr>
        <w:tblPrEx>
          <w:shd w:val="clear" w:color="auto" w:fill="000000"/>
        </w:tblPrEx>
        <w:trPr>
          <w:trHeight w:val="290" w:hRule="atLeast"/>
        </w:trPr>
        <w:tc>
          <w:tcPr>
            <w:tcW w:type="dxa" w:w="7370"/>
            <w:tcBorders>
              <w:top w:val="nil"/>
              <w:left w:val="single" w:color="000000" w:sz="6" w:space="0" w:shadow="0" w:frame="0"/>
              <w:bottom w:val="nil"/>
              <w:right w:val="single" w:color="000000" w:sz="8" w:space="0" w:shadow="0" w:frame="0"/>
            </w:tcBorders>
            <w:shd w:val="clear" w:color="auto" w:fill="auto"/>
            <w:tcMar>
              <w:top w:type="dxa" w:w="80"/>
              <w:left w:type="dxa" w:w="512"/>
              <w:bottom w:type="dxa" w:w="80"/>
              <w:right w:type="dxa" w:w="80"/>
            </w:tcMar>
            <w:vAlign w:val="top"/>
          </w:tcPr>
          <w:p>
            <w:pPr>
              <w:pStyle w:val="Body"/>
              <w:spacing w:before="40" w:after="40"/>
              <w:ind w:left="432" w:firstLine="0"/>
            </w:pPr>
            <w:r>
              <w:rPr>
                <w:rFonts w:ascii="Times New Roman" w:hAnsi="Times New Roman"/>
                <w:sz w:val="24"/>
                <w:szCs w:val="24"/>
                <w:shd w:val="nil" w:color="auto" w:fill="auto"/>
                <w:rtl w:val="0"/>
                <w:lang w:val="en-US"/>
              </w:rPr>
              <w:t>7.6 Regression Tests</w:t>
            </w:r>
          </w:p>
        </w:tc>
        <w:tc>
          <w:tcPr>
            <w:tcW w:type="dxa" w:w="1134"/>
            <w:tcBorders>
              <w:top w:val="nil"/>
              <w:left w:val="single" w:color="000000" w:sz="8" w:space="0" w:shadow="0" w:frame="0"/>
              <w:bottom w:val="nil"/>
              <w:right w:val="single" w:color="000000" w:sz="6" w:space="0" w:shadow="0" w:frame="0"/>
            </w:tcBorders>
            <w:shd w:val="clear" w:color="auto" w:fill="auto"/>
            <w:tcMar>
              <w:top w:type="dxa" w:w="80"/>
              <w:left w:type="dxa" w:w="80"/>
              <w:bottom w:type="dxa" w:w="80"/>
              <w:right w:type="dxa" w:w="80"/>
            </w:tcMar>
            <w:vAlign w:val="top"/>
          </w:tcPr>
          <w:p>
            <w:pPr>
              <w:pStyle w:val="Body"/>
              <w:spacing w:before="40" w:after="40"/>
              <w:jc w:val="center"/>
            </w:pPr>
            <w:r>
              <w:rPr>
                <w:rFonts w:ascii="Times New Roman" w:hAnsi="Times New Roman"/>
                <w:sz w:val="24"/>
                <w:szCs w:val="24"/>
                <w:rtl w:val="0"/>
                <w:lang w:val="en-US"/>
              </w:rPr>
              <w:t>39</w:t>
            </w:r>
          </w:p>
        </w:tc>
      </w:tr>
      <w:tr>
        <w:tblPrEx>
          <w:shd w:val="clear" w:color="auto" w:fill="000000"/>
        </w:tblPrEx>
        <w:trPr>
          <w:trHeight w:val="290" w:hRule="atLeast"/>
        </w:trPr>
        <w:tc>
          <w:tcPr>
            <w:tcW w:type="dxa" w:w="7370"/>
            <w:tcBorders>
              <w:top w:val="nil"/>
              <w:left w:val="single" w:color="000000" w:sz="6" w:space="0" w:shadow="0" w:frame="0"/>
              <w:bottom w:val="nil"/>
              <w:right w:val="single" w:color="000000" w:sz="8" w:space="0" w:shadow="0" w:frame="0"/>
            </w:tcBorders>
            <w:shd w:val="clear" w:color="auto" w:fill="auto"/>
            <w:tcMar>
              <w:top w:type="dxa" w:w="80"/>
              <w:left w:type="dxa" w:w="512"/>
              <w:bottom w:type="dxa" w:w="80"/>
              <w:right w:type="dxa" w:w="80"/>
            </w:tcMar>
            <w:vAlign w:val="top"/>
          </w:tcPr>
          <w:p>
            <w:pPr>
              <w:pStyle w:val="Body"/>
              <w:spacing w:before="40" w:after="40"/>
              <w:ind w:left="432" w:firstLine="0"/>
            </w:pPr>
            <w:r>
              <w:rPr>
                <w:rFonts w:ascii="Times New Roman" w:hAnsi="Times New Roman"/>
                <w:sz w:val="24"/>
                <w:szCs w:val="24"/>
                <w:shd w:val="nil" w:color="auto" w:fill="auto"/>
                <w:rtl w:val="0"/>
                <w:lang w:val="en-US"/>
              </w:rPr>
              <w:t>7.7 Performance Tests</w:t>
            </w:r>
          </w:p>
        </w:tc>
        <w:tc>
          <w:tcPr>
            <w:tcW w:type="dxa" w:w="1134"/>
            <w:tcBorders>
              <w:top w:val="nil"/>
              <w:left w:val="single" w:color="000000" w:sz="8" w:space="0" w:shadow="0" w:frame="0"/>
              <w:bottom w:val="nil"/>
              <w:right w:val="single" w:color="000000" w:sz="6" w:space="0" w:shadow="0" w:frame="0"/>
            </w:tcBorders>
            <w:shd w:val="clear" w:color="auto" w:fill="auto"/>
            <w:tcMar>
              <w:top w:type="dxa" w:w="80"/>
              <w:left w:type="dxa" w:w="80"/>
              <w:bottom w:type="dxa" w:w="80"/>
              <w:right w:type="dxa" w:w="80"/>
            </w:tcMar>
            <w:vAlign w:val="top"/>
          </w:tcPr>
          <w:p>
            <w:pPr>
              <w:pStyle w:val="Body"/>
              <w:spacing w:before="40" w:after="40"/>
              <w:jc w:val="center"/>
            </w:pPr>
            <w:r>
              <w:rPr>
                <w:rFonts w:ascii="Times New Roman" w:hAnsi="Times New Roman"/>
                <w:sz w:val="24"/>
                <w:szCs w:val="24"/>
                <w:rtl w:val="0"/>
                <w:lang w:val="en-US"/>
              </w:rPr>
              <w:t>40</w:t>
            </w:r>
          </w:p>
        </w:tc>
      </w:tr>
      <w:tr>
        <w:tblPrEx>
          <w:shd w:val="clear" w:color="auto" w:fill="000000"/>
        </w:tblPrEx>
        <w:trPr>
          <w:trHeight w:val="290" w:hRule="atLeast"/>
        </w:trPr>
        <w:tc>
          <w:tcPr>
            <w:tcW w:type="dxa" w:w="7370"/>
            <w:tcBorders>
              <w:top w:val="nil"/>
              <w:left w:val="single" w:color="000000" w:sz="6" w:space="0" w:shadow="0" w:frame="0"/>
              <w:bottom w:val="nil"/>
              <w:right w:val="single" w:color="000000" w:sz="8" w:space="0" w:shadow="0" w:frame="0"/>
            </w:tcBorders>
            <w:shd w:val="clear" w:color="auto" w:fill="auto"/>
            <w:tcMar>
              <w:top w:type="dxa" w:w="80"/>
              <w:left w:type="dxa" w:w="512"/>
              <w:bottom w:type="dxa" w:w="80"/>
              <w:right w:type="dxa" w:w="80"/>
            </w:tcMar>
            <w:vAlign w:val="top"/>
          </w:tcPr>
          <w:p>
            <w:pPr>
              <w:pStyle w:val="Body"/>
              <w:spacing w:before="40" w:after="40"/>
              <w:ind w:left="432" w:firstLine="0"/>
            </w:pPr>
            <w:r>
              <w:rPr>
                <w:rFonts w:ascii="Times New Roman" w:hAnsi="Times New Roman"/>
                <w:sz w:val="24"/>
                <w:szCs w:val="24"/>
                <w:shd w:val="nil" w:color="auto" w:fill="auto"/>
                <w:rtl w:val="0"/>
                <w:lang w:val="en-US"/>
              </w:rPr>
              <w:t>7.8 Overall Test Results Summary</w:t>
            </w:r>
          </w:p>
        </w:tc>
        <w:tc>
          <w:tcPr>
            <w:tcW w:type="dxa" w:w="1134"/>
            <w:tcBorders>
              <w:top w:val="nil"/>
              <w:left w:val="single" w:color="000000" w:sz="8" w:space="0" w:shadow="0" w:frame="0"/>
              <w:bottom w:val="nil"/>
              <w:right w:val="single" w:color="000000" w:sz="6" w:space="0" w:shadow="0" w:frame="0"/>
            </w:tcBorders>
            <w:shd w:val="clear" w:color="auto" w:fill="auto"/>
            <w:tcMar>
              <w:top w:type="dxa" w:w="80"/>
              <w:left w:type="dxa" w:w="80"/>
              <w:bottom w:type="dxa" w:w="80"/>
              <w:right w:type="dxa" w:w="80"/>
            </w:tcMar>
            <w:vAlign w:val="top"/>
          </w:tcPr>
          <w:p>
            <w:pPr>
              <w:pStyle w:val="Body"/>
              <w:spacing w:before="40" w:after="40"/>
              <w:jc w:val="center"/>
            </w:pPr>
            <w:r>
              <w:rPr>
                <w:rFonts w:ascii="Times New Roman" w:hAnsi="Times New Roman"/>
                <w:sz w:val="24"/>
                <w:szCs w:val="24"/>
                <w:rtl w:val="0"/>
                <w:lang w:val="en-US"/>
              </w:rPr>
              <w:t>40</w:t>
            </w:r>
          </w:p>
        </w:tc>
      </w:tr>
      <w:tr>
        <w:tblPrEx>
          <w:shd w:val="clear" w:color="auto" w:fill="000000"/>
        </w:tblPrEx>
        <w:trPr>
          <w:trHeight w:val="290" w:hRule="atLeast"/>
        </w:trPr>
        <w:tc>
          <w:tcPr>
            <w:tcW w:type="dxa" w:w="7370"/>
            <w:tcBorders>
              <w:top w:val="nil"/>
              <w:left w:val="single" w:color="000000" w:sz="6" w:space="0" w:shadow="0" w:frame="0"/>
              <w:bottom w:val="nil"/>
              <w:right w:val="single" w:color="000000" w:sz="8" w:space="0" w:shadow="0" w:frame="0"/>
            </w:tcBorders>
            <w:shd w:val="clear" w:color="auto" w:fill="auto"/>
            <w:tcMar>
              <w:top w:type="dxa" w:w="80"/>
              <w:left w:type="dxa" w:w="80"/>
              <w:bottom w:type="dxa" w:w="80"/>
              <w:right w:type="dxa" w:w="80"/>
            </w:tcMar>
            <w:vAlign w:val="top"/>
          </w:tcPr>
          <w:p>
            <w:pPr>
              <w:pStyle w:val="Body"/>
              <w:spacing w:before="40" w:after="40"/>
            </w:pPr>
            <w:r>
              <w:rPr>
                <w:rFonts w:ascii="Times New Roman" w:hAnsi="Times New Roman"/>
                <w:b w:val="1"/>
                <w:bCs w:val="1"/>
                <w:sz w:val="24"/>
                <w:szCs w:val="24"/>
                <w:shd w:val="nil" w:color="auto" w:fill="auto"/>
                <w:rtl w:val="0"/>
                <w:lang w:val="en-US"/>
              </w:rPr>
              <w:t>Chapter 8: Conclusion and Future Work</w:t>
            </w:r>
          </w:p>
        </w:tc>
        <w:tc>
          <w:tcPr>
            <w:tcW w:type="dxa" w:w="1134"/>
            <w:tcBorders>
              <w:top w:val="nil"/>
              <w:left w:val="single" w:color="000000" w:sz="8" w:space="0" w:shadow="0" w:frame="0"/>
              <w:bottom w:val="nil"/>
              <w:right w:val="single" w:color="000000" w:sz="6" w:space="0" w:shadow="0" w:frame="0"/>
            </w:tcBorders>
            <w:shd w:val="clear" w:color="auto" w:fill="auto"/>
            <w:tcMar>
              <w:top w:type="dxa" w:w="80"/>
              <w:left w:type="dxa" w:w="80"/>
              <w:bottom w:type="dxa" w:w="80"/>
              <w:right w:type="dxa" w:w="80"/>
            </w:tcMar>
            <w:vAlign w:val="top"/>
          </w:tcPr>
          <w:p>
            <w:pPr>
              <w:pStyle w:val="Body"/>
              <w:spacing w:before="40" w:after="40"/>
              <w:jc w:val="center"/>
            </w:pPr>
            <w:r>
              <w:rPr>
                <w:rFonts w:ascii="Times New Roman" w:hAnsi="Times New Roman"/>
                <w:b w:val="1"/>
                <w:bCs w:val="1"/>
                <w:sz w:val="24"/>
                <w:szCs w:val="24"/>
                <w:rtl w:val="0"/>
                <w:lang w:val="en-US"/>
              </w:rPr>
              <w:t>41</w:t>
            </w:r>
          </w:p>
        </w:tc>
      </w:tr>
      <w:tr>
        <w:tblPrEx>
          <w:shd w:val="clear" w:color="auto" w:fill="000000"/>
        </w:tblPrEx>
        <w:trPr>
          <w:trHeight w:val="290" w:hRule="atLeast"/>
        </w:trPr>
        <w:tc>
          <w:tcPr>
            <w:tcW w:type="dxa" w:w="7370"/>
            <w:tcBorders>
              <w:top w:val="nil"/>
              <w:left w:val="single" w:color="000000" w:sz="6" w:space="0" w:shadow="0" w:frame="0"/>
              <w:bottom w:val="nil"/>
              <w:right w:val="single" w:color="000000" w:sz="8" w:space="0" w:shadow="0" w:frame="0"/>
            </w:tcBorders>
            <w:shd w:val="clear" w:color="auto" w:fill="auto"/>
            <w:tcMar>
              <w:top w:type="dxa" w:w="80"/>
              <w:left w:type="dxa" w:w="512"/>
              <w:bottom w:type="dxa" w:w="80"/>
              <w:right w:type="dxa" w:w="80"/>
            </w:tcMar>
            <w:vAlign w:val="top"/>
          </w:tcPr>
          <w:p>
            <w:pPr>
              <w:pStyle w:val="Body"/>
              <w:spacing w:before="40" w:after="40"/>
              <w:ind w:left="432" w:firstLine="0"/>
            </w:pPr>
            <w:r>
              <w:rPr>
                <w:rFonts w:ascii="Times New Roman" w:hAnsi="Times New Roman"/>
                <w:sz w:val="24"/>
                <w:szCs w:val="24"/>
                <w:shd w:val="nil" w:color="auto" w:fill="auto"/>
                <w:rtl w:val="0"/>
                <w:lang w:val="en-US"/>
              </w:rPr>
              <w:t>8.1 Conclusion</w:t>
            </w:r>
          </w:p>
        </w:tc>
        <w:tc>
          <w:tcPr>
            <w:tcW w:type="dxa" w:w="1134"/>
            <w:tcBorders>
              <w:top w:val="nil"/>
              <w:left w:val="single" w:color="000000" w:sz="8" w:space="0" w:shadow="0" w:frame="0"/>
              <w:bottom w:val="nil"/>
              <w:right w:val="single" w:color="000000" w:sz="6" w:space="0" w:shadow="0" w:frame="0"/>
            </w:tcBorders>
            <w:shd w:val="clear" w:color="auto" w:fill="auto"/>
            <w:tcMar>
              <w:top w:type="dxa" w:w="80"/>
              <w:left w:type="dxa" w:w="80"/>
              <w:bottom w:type="dxa" w:w="80"/>
              <w:right w:type="dxa" w:w="80"/>
            </w:tcMar>
            <w:vAlign w:val="top"/>
          </w:tcPr>
          <w:p>
            <w:pPr>
              <w:pStyle w:val="Body"/>
              <w:spacing w:before="40" w:after="40"/>
              <w:jc w:val="center"/>
            </w:pPr>
            <w:r>
              <w:rPr>
                <w:rFonts w:ascii="Times New Roman" w:hAnsi="Times New Roman"/>
                <w:sz w:val="24"/>
                <w:szCs w:val="24"/>
                <w:rtl w:val="0"/>
                <w:lang w:val="en-US"/>
              </w:rPr>
              <w:t>41</w:t>
            </w:r>
          </w:p>
        </w:tc>
      </w:tr>
      <w:tr>
        <w:tblPrEx>
          <w:shd w:val="clear" w:color="auto" w:fill="000000"/>
        </w:tblPrEx>
        <w:trPr>
          <w:trHeight w:val="290" w:hRule="atLeast"/>
        </w:trPr>
        <w:tc>
          <w:tcPr>
            <w:tcW w:type="dxa" w:w="7370"/>
            <w:tcBorders>
              <w:top w:val="nil"/>
              <w:left w:val="single" w:color="000000" w:sz="6" w:space="0" w:shadow="0" w:frame="0"/>
              <w:bottom w:val="nil"/>
              <w:right w:val="single" w:color="000000" w:sz="8" w:space="0" w:shadow="0" w:frame="0"/>
            </w:tcBorders>
            <w:shd w:val="clear" w:color="auto" w:fill="auto"/>
            <w:tcMar>
              <w:top w:type="dxa" w:w="80"/>
              <w:left w:type="dxa" w:w="512"/>
              <w:bottom w:type="dxa" w:w="80"/>
              <w:right w:type="dxa" w:w="80"/>
            </w:tcMar>
            <w:vAlign w:val="top"/>
          </w:tcPr>
          <w:p>
            <w:pPr>
              <w:pStyle w:val="Body"/>
              <w:spacing w:before="40" w:after="40"/>
              <w:ind w:left="432" w:firstLine="0"/>
            </w:pPr>
            <w:r>
              <w:rPr>
                <w:rFonts w:ascii="Times New Roman" w:hAnsi="Times New Roman"/>
                <w:sz w:val="24"/>
                <w:szCs w:val="24"/>
                <w:shd w:val="nil" w:color="auto" w:fill="auto"/>
                <w:rtl w:val="0"/>
                <w:lang w:val="en-US"/>
              </w:rPr>
              <w:t>8.2 Future Work</w:t>
            </w:r>
          </w:p>
        </w:tc>
        <w:tc>
          <w:tcPr>
            <w:tcW w:type="dxa" w:w="1134"/>
            <w:tcBorders>
              <w:top w:val="nil"/>
              <w:left w:val="single" w:color="000000" w:sz="8" w:space="0" w:shadow="0" w:frame="0"/>
              <w:bottom w:val="nil"/>
              <w:right w:val="single" w:color="000000" w:sz="6" w:space="0" w:shadow="0" w:frame="0"/>
            </w:tcBorders>
            <w:shd w:val="clear" w:color="auto" w:fill="auto"/>
            <w:tcMar>
              <w:top w:type="dxa" w:w="80"/>
              <w:left w:type="dxa" w:w="80"/>
              <w:bottom w:type="dxa" w:w="80"/>
              <w:right w:type="dxa" w:w="80"/>
            </w:tcMar>
            <w:vAlign w:val="top"/>
          </w:tcPr>
          <w:p>
            <w:pPr>
              <w:pStyle w:val="Body"/>
              <w:spacing w:before="40" w:after="40"/>
              <w:jc w:val="center"/>
            </w:pPr>
            <w:r>
              <w:rPr>
                <w:rFonts w:ascii="Times New Roman" w:hAnsi="Times New Roman"/>
                <w:sz w:val="24"/>
                <w:szCs w:val="24"/>
                <w:rtl w:val="0"/>
                <w:lang w:val="en-US"/>
              </w:rPr>
              <w:t>42</w:t>
            </w:r>
          </w:p>
        </w:tc>
      </w:tr>
      <w:tr>
        <w:tblPrEx>
          <w:shd w:val="clear" w:color="auto" w:fill="000000"/>
        </w:tblPrEx>
        <w:trPr>
          <w:trHeight w:val="290" w:hRule="atLeast"/>
        </w:trPr>
        <w:tc>
          <w:tcPr>
            <w:tcW w:type="dxa" w:w="7370"/>
            <w:tcBorders>
              <w:top w:val="nil"/>
              <w:left w:val="single" w:color="000000" w:sz="6" w:space="0" w:shadow="0" w:frame="0"/>
              <w:bottom w:val="nil"/>
              <w:right w:val="single" w:color="000000" w:sz="8" w:space="0" w:shadow="0" w:frame="0"/>
            </w:tcBorders>
            <w:shd w:val="clear" w:color="auto" w:fill="auto"/>
            <w:tcMar>
              <w:top w:type="dxa" w:w="80"/>
              <w:left w:type="dxa" w:w="80"/>
              <w:bottom w:type="dxa" w:w="80"/>
              <w:right w:type="dxa" w:w="80"/>
            </w:tcMar>
            <w:vAlign w:val="top"/>
          </w:tcPr>
          <w:p>
            <w:pPr>
              <w:pStyle w:val="Body"/>
              <w:spacing w:before="40" w:after="40"/>
            </w:pPr>
            <w:r>
              <w:rPr>
                <w:rFonts w:ascii="Times New Roman" w:hAnsi="Times New Roman"/>
                <w:b w:val="1"/>
                <w:bCs w:val="1"/>
                <w:sz w:val="24"/>
                <w:szCs w:val="24"/>
                <w:shd w:val="nil" w:color="auto" w:fill="auto"/>
                <w:rtl w:val="0"/>
                <w:lang w:val="en-US"/>
              </w:rPr>
              <w:t>Appendix A: Project Team Details</w:t>
            </w:r>
          </w:p>
        </w:tc>
        <w:tc>
          <w:tcPr>
            <w:tcW w:type="dxa" w:w="1134"/>
            <w:tcBorders>
              <w:top w:val="nil"/>
              <w:left w:val="single" w:color="000000" w:sz="8" w:space="0" w:shadow="0" w:frame="0"/>
              <w:bottom w:val="nil"/>
              <w:right w:val="single" w:color="000000" w:sz="6" w:space="0" w:shadow="0" w:frame="0"/>
            </w:tcBorders>
            <w:shd w:val="clear" w:color="auto" w:fill="auto"/>
            <w:tcMar>
              <w:top w:type="dxa" w:w="80"/>
              <w:left w:type="dxa" w:w="80"/>
              <w:bottom w:type="dxa" w:w="80"/>
              <w:right w:type="dxa" w:w="80"/>
            </w:tcMar>
            <w:vAlign w:val="top"/>
          </w:tcPr>
          <w:p>
            <w:pPr>
              <w:pStyle w:val="Body"/>
              <w:spacing w:before="40" w:after="40"/>
              <w:jc w:val="center"/>
            </w:pPr>
            <w:r>
              <w:rPr>
                <w:rFonts w:ascii="Times New Roman" w:hAnsi="Times New Roman"/>
                <w:b w:val="1"/>
                <w:bCs w:val="1"/>
                <w:sz w:val="24"/>
                <w:szCs w:val="24"/>
                <w:rtl w:val="0"/>
                <w:lang w:val="en-US"/>
              </w:rPr>
              <w:t>43</w:t>
            </w:r>
          </w:p>
        </w:tc>
      </w:tr>
      <w:tr>
        <w:tblPrEx>
          <w:shd w:val="clear" w:color="auto" w:fill="000000"/>
        </w:tblPrEx>
        <w:trPr>
          <w:trHeight w:val="290" w:hRule="atLeast"/>
        </w:trPr>
        <w:tc>
          <w:tcPr>
            <w:tcW w:type="dxa" w:w="7370"/>
            <w:tcBorders>
              <w:top w:val="nil"/>
              <w:left w:val="single" w:color="000000" w:sz="6" w:space="0" w:shadow="0" w:frame="0"/>
              <w:bottom w:val="nil"/>
              <w:right w:val="single" w:color="000000" w:sz="8" w:space="0" w:shadow="0" w:frame="0"/>
            </w:tcBorders>
            <w:shd w:val="clear" w:color="auto" w:fill="auto"/>
            <w:tcMar>
              <w:top w:type="dxa" w:w="80"/>
              <w:left w:type="dxa" w:w="80"/>
              <w:bottom w:type="dxa" w:w="80"/>
              <w:right w:type="dxa" w:w="80"/>
            </w:tcMar>
            <w:vAlign w:val="top"/>
          </w:tcPr>
          <w:p>
            <w:pPr>
              <w:pStyle w:val="Body"/>
              <w:spacing w:before="40" w:after="40"/>
            </w:pPr>
            <w:r>
              <w:rPr>
                <w:rFonts w:ascii="Times New Roman" w:hAnsi="Times New Roman"/>
                <w:b w:val="1"/>
                <w:bCs w:val="1"/>
                <w:sz w:val="24"/>
                <w:szCs w:val="24"/>
                <w:shd w:val="nil" w:color="auto" w:fill="auto"/>
                <w:rtl w:val="0"/>
                <w:lang w:val="en-US"/>
              </w:rPr>
              <w:t>Appendix B: COs, POs and PSOs Mapping</w:t>
            </w:r>
          </w:p>
        </w:tc>
        <w:tc>
          <w:tcPr>
            <w:tcW w:type="dxa" w:w="1134"/>
            <w:tcBorders>
              <w:top w:val="nil"/>
              <w:left w:val="single" w:color="000000" w:sz="8" w:space="0" w:shadow="0" w:frame="0"/>
              <w:bottom w:val="nil"/>
              <w:right w:val="single" w:color="000000" w:sz="6" w:space="0" w:shadow="0" w:frame="0"/>
            </w:tcBorders>
            <w:shd w:val="clear" w:color="auto" w:fill="auto"/>
            <w:tcMar>
              <w:top w:type="dxa" w:w="80"/>
              <w:left w:type="dxa" w:w="80"/>
              <w:bottom w:type="dxa" w:w="80"/>
              <w:right w:type="dxa" w:w="80"/>
            </w:tcMar>
            <w:vAlign w:val="top"/>
          </w:tcPr>
          <w:p>
            <w:pPr>
              <w:pStyle w:val="Body"/>
              <w:spacing w:before="40" w:after="40"/>
              <w:jc w:val="center"/>
            </w:pPr>
            <w:r>
              <w:rPr>
                <w:rFonts w:ascii="Times New Roman" w:hAnsi="Times New Roman"/>
                <w:b w:val="1"/>
                <w:bCs w:val="1"/>
                <w:sz w:val="24"/>
                <w:szCs w:val="24"/>
                <w:rtl w:val="0"/>
                <w:lang w:val="en-US"/>
              </w:rPr>
              <w:t>44-46</w:t>
            </w:r>
          </w:p>
        </w:tc>
      </w:tr>
      <w:tr>
        <w:tblPrEx>
          <w:shd w:val="clear" w:color="auto" w:fill="000000"/>
        </w:tblPrEx>
        <w:trPr>
          <w:trHeight w:val="290" w:hRule="atLeast"/>
        </w:trPr>
        <w:tc>
          <w:tcPr>
            <w:tcW w:type="dxa" w:w="7370"/>
            <w:tcBorders>
              <w:top w:val="nil"/>
              <w:left w:val="single" w:color="000000" w:sz="6" w:space="0" w:shadow="0" w:frame="0"/>
              <w:bottom w:val="nil"/>
              <w:right w:val="single" w:color="000000" w:sz="8" w:space="0" w:shadow="0" w:frame="0"/>
            </w:tcBorders>
            <w:shd w:val="clear" w:color="auto" w:fill="auto"/>
            <w:tcMar>
              <w:top w:type="dxa" w:w="80"/>
              <w:left w:type="dxa" w:w="80"/>
              <w:bottom w:type="dxa" w:w="80"/>
              <w:right w:type="dxa" w:w="80"/>
            </w:tcMar>
            <w:vAlign w:val="top"/>
          </w:tcPr>
          <w:p>
            <w:pPr>
              <w:pStyle w:val="Body"/>
              <w:spacing w:before="40" w:after="40"/>
            </w:pPr>
            <w:r>
              <w:rPr>
                <w:rFonts w:ascii="Times New Roman" w:hAnsi="Times New Roman"/>
                <w:b w:val="1"/>
                <w:bCs w:val="1"/>
                <w:sz w:val="24"/>
                <w:szCs w:val="24"/>
                <w:shd w:val="nil" w:color="auto" w:fill="auto"/>
                <w:rtl w:val="0"/>
                <w:lang w:val="en-US"/>
              </w:rPr>
              <w:t>Appendix C: Publication Details</w:t>
            </w:r>
          </w:p>
        </w:tc>
        <w:tc>
          <w:tcPr>
            <w:tcW w:type="dxa" w:w="1134"/>
            <w:tcBorders>
              <w:top w:val="nil"/>
              <w:left w:val="single" w:color="000000" w:sz="8" w:space="0" w:shadow="0" w:frame="0"/>
              <w:bottom w:val="nil"/>
              <w:right w:val="single" w:color="000000" w:sz="6" w:space="0" w:shadow="0" w:frame="0"/>
            </w:tcBorders>
            <w:shd w:val="clear" w:color="auto" w:fill="auto"/>
            <w:tcMar>
              <w:top w:type="dxa" w:w="80"/>
              <w:left w:type="dxa" w:w="80"/>
              <w:bottom w:type="dxa" w:w="80"/>
              <w:right w:type="dxa" w:w="80"/>
            </w:tcMar>
            <w:vAlign w:val="top"/>
          </w:tcPr>
          <w:p>
            <w:pPr>
              <w:pStyle w:val="Body"/>
              <w:spacing w:before="40" w:after="40"/>
              <w:jc w:val="center"/>
            </w:pPr>
            <w:r>
              <w:rPr>
                <w:rFonts w:ascii="Times New Roman" w:hAnsi="Times New Roman"/>
                <w:b w:val="1"/>
                <w:bCs w:val="1"/>
                <w:sz w:val="24"/>
                <w:szCs w:val="24"/>
                <w:rtl w:val="0"/>
                <w:lang w:val="en-US"/>
              </w:rPr>
              <w:t>47</w:t>
            </w:r>
          </w:p>
        </w:tc>
      </w:tr>
      <w:tr>
        <w:tblPrEx>
          <w:shd w:val="clear" w:color="auto" w:fill="000000"/>
        </w:tblPrEx>
        <w:trPr>
          <w:trHeight w:val="297" w:hRule="atLeast"/>
        </w:trPr>
        <w:tc>
          <w:tcPr>
            <w:tcW w:type="dxa" w:w="7370"/>
            <w:tcBorders>
              <w:top w:val="nil"/>
              <w:left w:val="single" w:color="000000" w:sz="6" w:space="0" w:shadow="0" w:frame="0"/>
              <w:bottom w:val="single" w:color="000000" w:sz="6"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40" w:after="40"/>
            </w:pPr>
            <w:r>
              <w:rPr>
                <w:rFonts w:ascii="Times New Roman" w:hAnsi="Times New Roman"/>
                <w:b w:val="1"/>
                <w:bCs w:val="1"/>
                <w:sz w:val="24"/>
                <w:szCs w:val="24"/>
                <w:shd w:val="nil" w:color="auto" w:fill="auto"/>
                <w:rtl w:val="0"/>
                <w:lang w:val="en-US"/>
              </w:rPr>
              <w:t>References</w:t>
            </w:r>
          </w:p>
        </w:tc>
        <w:tc>
          <w:tcPr>
            <w:tcW w:type="dxa" w:w="1134"/>
            <w:tcBorders>
              <w:top w:val="nil"/>
              <w:left w:val="single" w:color="000000" w:sz="8"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spacing w:before="40" w:after="40"/>
              <w:jc w:val="center"/>
            </w:pPr>
            <w:r>
              <w:rPr>
                <w:rFonts w:ascii="Times New Roman" w:hAnsi="Times New Roman"/>
                <w:b w:val="1"/>
                <w:bCs w:val="1"/>
                <w:sz w:val="24"/>
                <w:szCs w:val="24"/>
                <w:rtl w:val="0"/>
                <w:lang w:val="en-US"/>
              </w:rPr>
              <w:t>48-49</w:t>
            </w:r>
          </w:p>
        </w:tc>
      </w:tr>
    </w:tbl>
    <w:p>
      <w:pPr>
        <w:pStyle w:val="Body"/>
        <w:widowControl w:val="0"/>
        <w:spacing w:before="360" w:after="280" w:line="240" w:lineRule="auto"/>
        <w:jc w:val="center"/>
      </w:pPr>
    </w:p>
    <w:p>
      <w:pPr>
        <w:pStyle w:val="Body"/>
      </w:pPr>
      <w:r>
        <w:rPr>
          <w:rFonts w:ascii="Arial Unicode MS" w:cs="Arial Unicode MS" w:hAnsi="Arial Unicode MS" w:eastAsia="Arial Unicode MS"/>
          <w:b w:val="0"/>
          <w:bCs w:val="0"/>
          <w:i w:val="0"/>
          <w:iCs w:val="0"/>
        </w:rPr>
        <w:br w:type="page"/>
      </w:r>
    </w:p>
    <w:p>
      <w:pPr>
        <w:pStyle w:val="Body"/>
        <w:spacing w:before="360" w:after="280"/>
        <w:jc w:val="center"/>
      </w:pPr>
      <w:r>
        <w:rPr>
          <w:rFonts w:ascii="Times New Roman" w:hAnsi="Times New Roman"/>
          <w:b w:val="1"/>
          <w:bCs w:val="1"/>
          <w:sz w:val="28"/>
          <w:szCs w:val="28"/>
          <w:rtl w:val="0"/>
          <w:lang w:val="en-US"/>
        </w:rPr>
        <w:t>LIST OF FIGURES</w:t>
      </w:r>
    </w:p>
    <w:tbl>
      <w:tblPr>
        <w:tblW w:w="850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4"/>
        <w:gridCol w:w="6520"/>
        <w:gridCol w:w="850"/>
      </w:tblGrid>
      <w:tr>
        <w:tblPrEx>
          <w:shd w:val="clear" w:color="auto" w:fill="ced7e7"/>
        </w:tblPrEx>
        <w:trPr>
          <w:trHeight w:val="651" w:hRule="atLeast"/>
        </w:trPr>
        <w:tc>
          <w:tcPr>
            <w:tcW w:type="dxa" w:w="1134"/>
            <w:tcBorders>
              <w:top w:val="single" w:color="000000" w:sz="6" w:space="0" w:shadow="0" w:frame="0"/>
              <w:left w:val="single" w:color="000000" w:sz="6"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b w:val="1"/>
                <w:bCs w:val="1"/>
                <w:sz w:val="24"/>
                <w:szCs w:val="24"/>
                <w:shd w:val="nil" w:color="auto" w:fill="auto"/>
                <w:rtl w:val="0"/>
                <w:lang w:val="en-US"/>
              </w:rPr>
              <w:t>Figure No.</w:t>
            </w:r>
          </w:p>
        </w:tc>
        <w:tc>
          <w:tcPr>
            <w:tcW w:type="dxa" w:w="6520"/>
            <w:tcBorders>
              <w:top w:val="single" w:color="000000" w:sz="6"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b w:val="1"/>
                <w:bCs w:val="1"/>
                <w:sz w:val="24"/>
                <w:szCs w:val="24"/>
                <w:shd w:val="nil" w:color="auto" w:fill="auto"/>
                <w:rtl w:val="0"/>
                <w:lang w:val="en-US"/>
              </w:rPr>
              <w:t>Figure Description</w:t>
            </w:r>
          </w:p>
        </w:tc>
        <w:tc>
          <w:tcPr>
            <w:tcW w:type="dxa" w:w="850"/>
            <w:tcBorders>
              <w:top w:val="single" w:color="000000" w:sz="6" w:space="0" w:shadow="0" w:frame="0"/>
              <w:left w:val="single" w:color="000000" w:sz="8" w:space="0" w:shadow="0" w:frame="0"/>
              <w:bottom w:val="single" w:color="000000" w:sz="8"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b w:val="1"/>
                <w:bCs w:val="1"/>
                <w:sz w:val="24"/>
                <w:szCs w:val="24"/>
                <w:shd w:val="nil" w:color="auto" w:fill="auto"/>
                <w:rtl w:val="0"/>
                <w:lang w:val="en-US"/>
              </w:rPr>
              <w:t>Page No.</w:t>
            </w:r>
          </w:p>
        </w:tc>
      </w:tr>
      <w:tr>
        <w:tblPrEx>
          <w:shd w:val="clear" w:color="auto" w:fill="ced7e7"/>
        </w:tblPrEx>
        <w:trPr>
          <w:trHeight w:val="653" w:hRule="atLeast"/>
        </w:trPr>
        <w:tc>
          <w:tcPr>
            <w:tcW w:type="dxa" w:w="1134"/>
            <w:tcBorders>
              <w:top w:val="single" w:color="000000" w:sz="8" w:space="0" w:shadow="0" w:frame="0"/>
              <w:left w:val="single" w:color="000000" w:sz="6" w:space="0" w:shadow="0" w:frame="0"/>
              <w:bottom w:val="nil"/>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4"/>
                <w:szCs w:val="24"/>
                <w:shd w:val="nil" w:color="auto" w:fill="auto"/>
                <w:rtl w:val="0"/>
                <w:lang w:val="en-US"/>
              </w:rPr>
              <w:t>5.1</w:t>
            </w:r>
          </w:p>
        </w:tc>
        <w:tc>
          <w:tcPr>
            <w:tcW w:type="dxa" w:w="6520"/>
            <w:tcBorders>
              <w:top w:val="single" w:color="000000" w:sz="8" w:space="0" w:shadow="0" w:frame="0"/>
              <w:left w:val="single" w:color="000000" w:sz="8" w:space="0" w:shadow="0" w:frame="0"/>
              <w:bottom w:val="nil"/>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4"/>
                <w:szCs w:val="24"/>
                <w:shd w:val="nil" w:color="auto" w:fill="auto"/>
                <w:rtl w:val="0"/>
                <w:lang w:val="en-US"/>
              </w:rPr>
              <w:t xml:space="preserve">System Data Pipeline Flowchart </w:t>
            </w:r>
            <w:r>
              <w:rPr>
                <w:rFonts w:ascii="Times New Roman" w:hAnsi="Times New Roman" w:hint="default"/>
                <w:sz w:val="24"/>
                <w:szCs w:val="24"/>
                <w:shd w:val="nil" w:color="auto" w:fill="auto"/>
                <w:rtl w:val="0"/>
                <w:lang w:val="en-US"/>
              </w:rPr>
              <w:t xml:space="preserve">— </w:t>
            </w:r>
            <w:r>
              <w:rPr>
                <w:rFonts w:ascii="Times New Roman" w:hAnsi="Times New Roman"/>
                <w:sz w:val="24"/>
                <w:szCs w:val="24"/>
                <w:shd w:val="nil" w:color="auto" w:fill="auto"/>
                <w:rtl w:val="0"/>
                <w:lang w:val="en-US"/>
              </w:rPr>
              <w:t>ClinVar Download, VUS/UTR Filtering, Stratified Split and SMOTE+Tomek Resampling</w:t>
            </w:r>
          </w:p>
        </w:tc>
        <w:tc>
          <w:tcPr>
            <w:tcW w:type="dxa" w:w="850"/>
            <w:tcBorders>
              <w:top w:val="single" w:color="000000" w:sz="8" w:space="0" w:shadow="0" w:frame="0"/>
              <w:left w:val="single" w:color="000000" w:sz="8" w:space="0" w:shadow="0" w:frame="0"/>
              <w:bottom w:val="nil"/>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4"/>
                <w:szCs w:val="24"/>
                <w:rtl w:val="0"/>
                <w:lang w:val="en-US"/>
              </w:rPr>
              <w:t>24</w:t>
            </w:r>
          </w:p>
        </w:tc>
      </w:tr>
      <w:tr>
        <w:tblPrEx>
          <w:shd w:val="clear" w:color="auto" w:fill="ced7e7"/>
        </w:tblPrEx>
        <w:trPr>
          <w:trHeight w:val="653" w:hRule="atLeast"/>
        </w:trPr>
        <w:tc>
          <w:tcPr>
            <w:tcW w:type="dxa" w:w="1134"/>
            <w:tcBorders>
              <w:top w:val="nil"/>
              <w:left w:val="single" w:color="000000" w:sz="6" w:space="0" w:shadow="0" w:frame="0"/>
              <w:bottom w:val="nil"/>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4"/>
                <w:szCs w:val="24"/>
                <w:shd w:val="nil" w:color="auto" w:fill="auto"/>
                <w:rtl w:val="0"/>
                <w:lang w:val="en-US"/>
              </w:rPr>
              <w:t>5.2</w:t>
            </w:r>
          </w:p>
        </w:tc>
        <w:tc>
          <w:tcPr>
            <w:tcW w:type="dxa" w:w="6520"/>
            <w:tcBorders>
              <w:top w:val="nil"/>
              <w:left w:val="single" w:color="000000" w:sz="8" w:space="0" w:shadow="0" w:frame="0"/>
              <w:bottom w:val="nil"/>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4"/>
                <w:szCs w:val="24"/>
                <w:shd w:val="nil" w:color="auto" w:fill="auto"/>
                <w:rtl w:val="0"/>
                <w:lang w:val="en-US"/>
              </w:rPr>
              <w:t xml:space="preserve">Module Chain </w:t>
            </w:r>
            <w:r>
              <w:rPr>
                <w:rFonts w:ascii="Times New Roman" w:hAnsi="Times New Roman" w:hint="default"/>
                <w:sz w:val="24"/>
                <w:szCs w:val="24"/>
                <w:shd w:val="nil" w:color="auto" w:fill="auto"/>
                <w:rtl w:val="0"/>
                <w:lang w:val="en-US"/>
              </w:rPr>
              <w:t xml:space="preserve">— </w:t>
            </w:r>
            <w:r>
              <w:rPr>
                <w:rFonts w:ascii="Times New Roman" w:hAnsi="Times New Roman"/>
                <w:sz w:val="24"/>
                <w:szCs w:val="24"/>
                <w:shd w:val="nil" w:color="auto" w:fill="auto"/>
                <w:rtl w:val="0"/>
                <w:lang w:val="en-US"/>
              </w:rPr>
              <w:t>Blue Boxes Execute on Every Request; Orange Boxes Activate for Pathogenic or Uncertain Predictions</w:t>
            </w:r>
          </w:p>
        </w:tc>
        <w:tc>
          <w:tcPr>
            <w:tcW w:type="dxa" w:w="850"/>
            <w:tcBorders>
              <w:top w:val="nil"/>
              <w:left w:val="single" w:color="000000" w:sz="8" w:space="0" w:shadow="0" w:frame="0"/>
              <w:bottom w:val="nil"/>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4"/>
                <w:szCs w:val="24"/>
                <w:rtl w:val="0"/>
                <w:lang w:val="en-US"/>
              </w:rPr>
              <w:t>25</w:t>
            </w:r>
          </w:p>
        </w:tc>
      </w:tr>
      <w:tr>
        <w:tblPrEx>
          <w:shd w:val="clear" w:color="auto" w:fill="ced7e7"/>
        </w:tblPrEx>
        <w:trPr>
          <w:trHeight w:val="653" w:hRule="atLeast"/>
        </w:trPr>
        <w:tc>
          <w:tcPr>
            <w:tcW w:type="dxa" w:w="1134"/>
            <w:tcBorders>
              <w:top w:val="nil"/>
              <w:left w:val="single" w:color="000000" w:sz="6" w:space="0" w:shadow="0" w:frame="0"/>
              <w:bottom w:val="nil"/>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4"/>
                <w:szCs w:val="24"/>
                <w:shd w:val="nil" w:color="auto" w:fill="auto"/>
                <w:rtl w:val="0"/>
                <w:lang w:val="en-US"/>
              </w:rPr>
              <w:t>5.3</w:t>
            </w:r>
          </w:p>
        </w:tc>
        <w:tc>
          <w:tcPr>
            <w:tcW w:type="dxa" w:w="6520"/>
            <w:tcBorders>
              <w:top w:val="nil"/>
              <w:left w:val="single" w:color="000000" w:sz="8" w:space="0" w:shadow="0" w:frame="0"/>
              <w:bottom w:val="nil"/>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4"/>
                <w:szCs w:val="24"/>
                <w:shd w:val="nil" w:color="auto" w:fill="auto"/>
                <w:rtl w:val="0"/>
                <w:lang w:val="en-US"/>
              </w:rPr>
              <w:t xml:space="preserve">Ten-Layer System Architecture </w:t>
            </w:r>
            <w:r>
              <w:rPr>
                <w:rFonts w:ascii="Times New Roman" w:hAnsi="Times New Roman" w:hint="default"/>
                <w:sz w:val="24"/>
                <w:szCs w:val="24"/>
                <w:shd w:val="nil" w:color="auto" w:fill="auto"/>
                <w:rtl w:val="0"/>
                <w:lang w:val="en-US"/>
              </w:rPr>
              <w:t xml:space="preserve">— </w:t>
            </w:r>
            <w:r>
              <w:rPr>
                <w:rFonts w:ascii="Times New Roman" w:hAnsi="Times New Roman"/>
                <w:sz w:val="24"/>
                <w:szCs w:val="24"/>
                <w:shd w:val="nil" w:color="auto" w:fill="auto"/>
                <w:rtl w:val="0"/>
                <w:lang w:val="en-US"/>
              </w:rPr>
              <w:t>L1 React Frontend to L10 PredictionResult JSON</w:t>
            </w:r>
          </w:p>
        </w:tc>
        <w:tc>
          <w:tcPr>
            <w:tcW w:type="dxa" w:w="850"/>
            <w:tcBorders>
              <w:top w:val="nil"/>
              <w:left w:val="single" w:color="000000" w:sz="8" w:space="0" w:shadow="0" w:frame="0"/>
              <w:bottom w:val="nil"/>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4"/>
                <w:szCs w:val="24"/>
                <w:rtl w:val="0"/>
                <w:lang w:val="en-US"/>
              </w:rPr>
              <w:t>26</w:t>
            </w:r>
          </w:p>
        </w:tc>
      </w:tr>
      <w:tr>
        <w:tblPrEx>
          <w:shd w:val="clear" w:color="auto" w:fill="ced7e7"/>
        </w:tblPrEx>
        <w:trPr>
          <w:trHeight w:val="310" w:hRule="atLeast"/>
        </w:trPr>
        <w:tc>
          <w:tcPr>
            <w:tcW w:type="dxa" w:w="1134"/>
            <w:tcBorders>
              <w:top w:val="nil"/>
              <w:left w:val="single" w:color="000000" w:sz="6" w:space="0" w:shadow="0" w:frame="0"/>
              <w:bottom w:val="nil"/>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4"/>
                <w:szCs w:val="24"/>
                <w:shd w:val="nil" w:color="auto" w:fill="auto"/>
                <w:rtl w:val="0"/>
                <w:lang w:val="en-US"/>
              </w:rPr>
              <w:t>6.1</w:t>
            </w:r>
          </w:p>
        </w:tc>
        <w:tc>
          <w:tcPr>
            <w:tcW w:type="dxa" w:w="6520"/>
            <w:tcBorders>
              <w:top w:val="nil"/>
              <w:left w:val="single" w:color="000000" w:sz="8" w:space="0" w:shadow="0" w:frame="0"/>
              <w:bottom w:val="nil"/>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4"/>
                <w:szCs w:val="24"/>
                <w:shd w:val="nil" w:color="auto" w:fill="auto"/>
                <w:rtl w:val="0"/>
                <w:lang w:val="en-US"/>
              </w:rPr>
              <w:t>Class Distribution per Gene Before and After SMOTE Balancing</w:t>
            </w:r>
          </w:p>
        </w:tc>
        <w:tc>
          <w:tcPr>
            <w:tcW w:type="dxa" w:w="850"/>
            <w:tcBorders>
              <w:top w:val="nil"/>
              <w:left w:val="single" w:color="000000" w:sz="8" w:space="0" w:shadow="0" w:frame="0"/>
              <w:bottom w:val="nil"/>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4"/>
                <w:szCs w:val="24"/>
                <w:rtl w:val="0"/>
                <w:lang w:val="en-US"/>
              </w:rPr>
              <w:t>27</w:t>
            </w:r>
          </w:p>
        </w:tc>
      </w:tr>
      <w:tr>
        <w:tblPrEx>
          <w:shd w:val="clear" w:color="auto" w:fill="ced7e7"/>
        </w:tblPrEx>
        <w:trPr>
          <w:trHeight w:val="653" w:hRule="atLeast"/>
        </w:trPr>
        <w:tc>
          <w:tcPr>
            <w:tcW w:type="dxa" w:w="1134"/>
            <w:tcBorders>
              <w:top w:val="nil"/>
              <w:left w:val="single" w:color="000000" w:sz="6" w:space="0" w:shadow="0" w:frame="0"/>
              <w:bottom w:val="nil"/>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4"/>
                <w:szCs w:val="24"/>
                <w:shd w:val="nil" w:color="auto" w:fill="auto"/>
                <w:rtl w:val="0"/>
                <w:lang w:val="en-US"/>
              </w:rPr>
              <w:t>6.2</w:t>
            </w:r>
          </w:p>
        </w:tc>
        <w:tc>
          <w:tcPr>
            <w:tcW w:type="dxa" w:w="6520"/>
            <w:tcBorders>
              <w:top w:val="nil"/>
              <w:left w:val="single" w:color="000000" w:sz="8" w:space="0" w:shadow="0" w:frame="0"/>
              <w:bottom w:val="nil"/>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4"/>
                <w:szCs w:val="24"/>
                <w:shd w:val="nil" w:color="auto" w:fill="auto"/>
                <w:rtl w:val="0"/>
                <w:lang w:val="en-US"/>
              </w:rPr>
              <w:t xml:space="preserve">Feature Engineering Pipeline </w:t>
            </w:r>
            <w:r>
              <w:rPr>
                <w:rFonts w:ascii="Times New Roman" w:hAnsi="Times New Roman" w:hint="default"/>
                <w:sz w:val="24"/>
                <w:szCs w:val="24"/>
                <w:shd w:val="nil" w:color="auto" w:fill="auto"/>
                <w:rtl w:val="0"/>
                <w:lang w:val="en-US"/>
              </w:rPr>
              <w:t xml:space="preserve">— </w:t>
            </w:r>
            <w:r>
              <w:rPr>
                <w:rFonts w:ascii="Times New Roman" w:hAnsi="Times New Roman"/>
                <w:sz w:val="24"/>
                <w:szCs w:val="24"/>
                <w:shd w:val="nil" w:color="auto" w:fill="auto"/>
                <w:rtl w:val="0"/>
                <w:lang w:val="en-US"/>
              </w:rPr>
              <w:t>Raw Input to 93-Dimensional Feature Vector</w:t>
            </w:r>
          </w:p>
        </w:tc>
        <w:tc>
          <w:tcPr>
            <w:tcW w:type="dxa" w:w="850"/>
            <w:tcBorders>
              <w:top w:val="nil"/>
              <w:left w:val="single" w:color="000000" w:sz="8" w:space="0" w:shadow="0" w:frame="0"/>
              <w:bottom w:val="nil"/>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4"/>
                <w:szCs w:val="24"/>
                <w:shd w:val="nil" w:color="auto" w:fill="auto"/>
                <w:rtl w:val="0"/>
                <w:lang w:val="en-US"/>
              </w:rPr>
              <w:t>28</w:t>
            </w:r>
          </w:p>
        </w:tc>
      </w:tr>
      <w:tr>
        <w:tblPrEx>
          <w:shd w:val="clear" w:color="auto" w:fill="ced7e7"/>
        </w:tblPrEx>
        <w:trPr>
          <w:trHeight w:val="653" w:hRule="atLeast"/>
        </w:trPr>
        <w:tc>
          <w:tcPr>
            <w:tcW w:type="dxa" w:w="1134"/>
            <w:tcBorders>
              <w:top w:val="nil"/>
              <w:left w:val="single" w:color="000000" w:sz="6" w:space="0" w:shadow="0" w:frame="0"/>
              <w:bottom w:val="nil"/>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4"/>
                <w:szCs w:val="24"/>
                <w:shd w:val="nil" w:color="auto" w:fill="auto"/>
                <w:rtl w:val="0"/>
                <w:lang w:val="en-US"/>
              </w:rPr>
              <w:t>6.3</w:t>
            </w:r>
          </w:p>
        </w:tc>
        <w:tc>
          <w:tcPr>
            <w:tcW w:type="dxa" w:w="6520"/>
            <w:tcBorders>
              <w:top w:val="nil"/>
              <w:left w:val="single" w:color="000000" w:sz="8" w:space="0" w:shadow="0" w:frame="0"/>
              <w:bottom w:val="nil"/>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4"/>
                <w:szCs w:val="24"/>
                <w:shd w:val="nil" w:color="auto" w:fill="auto"/>
                <w:rtl w:val="0"/>
                <w:lang w:val="en-US"/>
              </w:rPr>
              <w:t xml:space="preserve">Model Training Workflow </w:t>
            </w:r>
            <w:r>
              <w:rPr>
                <w:rFonts w:ascii="Times New Roman" w:hAnsi="Times New Roman" w:hint="default"/>
                <w:sz w:val="24"/>
                <w:szCs w:val="24"/>
                <w:shd w:val="nil" w:color="auto" w:fill="auto"/>
                <w:rtl w:val="0"/>
                <w:lang w:val="en-US"/>
              </w:rPr>
              <w:t xml:space="preserve">— </w:t>
            </w:r>
            <w:r>
              <w:rPr>
                <w:rFonts w:ascii="Times New Roman" w:hAnsi="Times New Roman"/>
                <w:sz w:val="24"/>
                <w:szCs w:val="24"/>
                <w:shd w:val="nil" w:color="auto" w:fill="auto"/>
                <w:rtl w:val="0"/>
                <w:lang w:val="en-US"/>
              </w:rPr>
              <w:t>SMOTE+Tomek, XGBoost Fitting, Isotonic Calibration and Val/Test Scoring</w:t>
            </w:r>
          </w:p>
        </w:tc>
        <w:tc>
          <w:tcPr>
            <w:tcW w:type="dxa" w:w="850"/>
            <w:tcBorders>
              <w:top w:val="nil"/>
              <w:left w:val="single" w:color="000000" w:sz="8" w:space="0" w:shadow="0" w:frame="0"/>
              <w:bottom w:val="nil"/>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4"/>
                <w:szCs w:val="24"/>
                <w:shd w:val="nil" w:color="auto" w:fill="auto"/>
                <w:rtl w:val="0"/>
                <w:lang w:val="en-US"/>
              </w:rPr>
              <w:t>3</w:t>
            </w:r>
            <w:r>
              <w:rPr>
                <w:rFonts w:ascii="Times New Roman" w:hAnsi="Times New Roman"/>
                <w:sz w:val="24"/>
                <w:szCs w:val="24"/>
                <w:shd w:val="nil" w:color="auto" w:fill="auto"/>
                <w:rtl w:val="0"/>
                <w:lang w:val="en-US"/>
              </w:rPr>
              <w:t>0</w:t>
            </w:r>
          </w:p>
        </w:tc>
      </w:tr>
      <w:tr>
        <w:tblPrEx>
          <w:shd w:val="clear" w:color="auto" w:fill="ced7e7"/>
        </w:tblPrEx>
        <w:trPr>
          <w:trHeight w:val="653" w:hRule="atLeast"/>
        </w:trPr>
        <w:tc>
          <w:tcPr>
            <w:tcW w:type="dxa" w:w="1134"/>
            <w:tcBorders>
              <w:top w:val="nil"/>
              <w:left w:val="single" w:color="000000" w:sz="6" w:space="0" w:shadow="0" w:frame="0"/>
              <w:bottom w:val="nil"/>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4"/>
                <w:szCs w:val="24"/>
                <w:shd w:val="nil" w:color="auto" w:fill="auto"/>
                <w:rtl w:val="0"/>
                <w:lang w:val="en-US"/>
              </w:rPr>
              <w:t>6.4</w:t>
            </w:r>
          </w:p>
        </w:tc>
        <w:tc>
          <w:tcPr>
            <w:tcW w:type="dxa" w:w="6520"/>
            <w:tcBorders>
              <w:top w:val="nil"/>
              <w:left w:val="single" w:color="000000" w:sz="8" w:space="0" w:shadow="0" w:frame="0"/>
              <w:bottom w:val="nil"/>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4"/>
                <w:szCs w:val="24"/>
                <w:shd w:val="nil" w:color="auto" w:fill="auto"/>
                <w:rtl w:val="0"/>
                <w:lang w:val="en-US"/>
              </w:rPr>
              <w:t>ROC Curve (AUC = 0.9446) and Confusion Matrix on Held-Out Test Set</w:t>
            </w:r>
          </w:p>
        </w:tc>
        <w:tc>
          <w:tcPr>
            <w:tcW w:type="dxa" w:w="850"/>
            <w:tcBorders>
              <w:top w:val="nil"/>
              <w:left w:val="single" w:color="000000" w:sz="8" w:space="0" w:shadow="0" w:frame="0"/>
              <w:bottom w:val="nil"/>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4"/>
                <w:szCs w:val="24"/>
                <w:rtl w:val="0"/>
                <w:lang w:val="en-US"/>
              </w:rPr>
              <w:t>31</w:t>
            </w:r>
          </w:p>
        </w:tc>
      </w:tr>
      <w:tr>
        <w:tblPrEx>
          <w:shd w:val="clear" w:color="auto" w:fill="ced7e7"/>
        </w:tblPrEx>
        <w:trPr>
          <w:trHeight w:val="653" w:hRule="atLeast"/>
        </w:trPr>
        <w:tc>
          <w:tcPr>
            <w:tcW w:type="dxa" w:w="1134"/>
            <w:tcBorders>
              <w:top w:val="nil"/>
              <w:left w:val="single" w:color="000000" w:sz="6" w:space="0" w:shadow="0" w:frame="0"/>
              <w:bottom w:val="nil"/>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4"/>
                <w:szCs w:val="24"/>
                <w:shd w:val="nil" w:color="auto" w:fill="auto"/>
                <w:rtl w:val="0"/>
                <w:lang w:val="en-US"/>
              </w:rPr>
              <w:t>6.5</w:t>
            </w:r>
          </w:p>
        </w:tc>
        <w:tc>
          <w:tcPr>
            <w:tcW w:type="dxa" w:w="6520"/>
            <w:tcBorders>
              <w:top w:val="nil"/>
              <w:left w:val="single" w:color="000000" w:sz="8" w:space="0" w:shadow="0" w:frame="0"/>
              <w:bottom w:val="nil"/>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4"/>
                <w:szCs w:val="24"/>
                <w:shd w:val="nil" w:color="auto" w:fill="auto"/>
                <w:rtl w:val="0"/>
                <w:lang w:val="en-US"/>
              </w:rPr>
              <w:t xml:space="preserve">SHAP Feature Importance </w:t>
            </w:r>
            <w:r>
              <w:rPr>
                <w:rFonts w:ascii="Times New Roman" w:hAnsi="Times New Roman" w:hint="default"/>
                <w:sz w:val="24"/>
                <w:szCs w:val="24"/>
                <w:shd w:val="nil" w:color="auto" w:fill="auto"/>
                <w:rtl w:val="0"/>
                <w:lang w:val="en-US"/>
              </w:rPr>
              <w:t xml:space="preserve">— </w:t>
            </w:r>
            <w:r>
              <w:rPr>
                <w:rFonts w:ascii="Times New Roman" w:hAnsi="Times New Roman"/>
                <w:sz w:val="24"/>
                <w:szCs w:val="24"/>
                <w:shd w:val="nil" w:color="auto" w:fill="auto"/>
                <w:rtl w:val="0"/>
                <w:lang w:val="en-US"/>
              </w:rPr>
              <w:t>Top Predictive Features for Pathogenicity</w:t>
            </w:r>
          </w:p>
        </w:tc>
        <w:tc>
          <w:tcPr>
            <w:tcW w:type="dxa" w:w="850"/>
            <w:tcBorders>
              <w:top w:val="nil"/>
              <w:left w:val="single" w:color="000000" w:sz="8" w:space="0" w:shadow="0" w:frame="0"/>
              <w:bottom w:val="nil"/>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4"/>
                <w:szCs w:val="24"/>
                <w:rtl w:val="0"/>
                <w:lang w:val="en-US"/>
              </w:rPr>
              <w:t>31</w:t>
            </w:r>
          </w:p>
        </w:tc>
      </w:tr>
      <w:tr>
        <w:tblPrEx>
          <w:shd w:val="clear" w:color="auto" w:fill="ced7e7"/>
        </w:tblPrEx>
        <w:trPr>
          <w:trHeight w:val="653" w:hRule="atLeast"/>
        </w:trPr>
        <w:tc>
          <w:tcPr>
            <w:tcW w:type="dxa" w:w="1134"/>
            <w:tcBorders>
              <w:top w:val="nil"/>
              <w:left w:val="single" w:color="000000" w:sz="6" w:space="0" w:shadow="0" w:frame="0"/>
              <w:bottom w:val="nil"/>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4"/>
                <w:szCs w:val="24"/>
                <w:shd w:val="nil" w:color="auto" w:fill="auto"/>
                <w:rtl w:val="0"/>
                <w:lang w:val="en-US"/>
              </w:rPr>
              <w:t>6.6</w:t>
            </w:r>
          </w:p>
        </w:tc>
        <w:tc>
          <w:tcPr>
            <w:tcW w:type="dxa" w:w="6520"/>
            <w:tcBorders>
              <w:top w:val="nil"/>
              <w:left w:val="single" w:color="000000" w:sz="8" w:space="0" w:shadow="0" w:frame="0"/>
              <w:bottom w:val="nil"/>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4"/>
                <w:szCs w:val="24"/>
                <w:shd w:val="nil" w:color="auto" w:fill="auto"/>
                <w:rtl w:val="0"/>
                <w:lang w:val="en-US"/>
              </w:rPr>
              <w:t xml:space="preserve">Variant Pathogenicity Analysis </w:t>
            </w:r>
            <w:r>
              <w:rPr>
                <w:rFonts w:ascii="Times New Roman" w:hAnsi="Times New Roman" w:hint="default"/>
                <w:sz w:val="24"/>
                <w:szCs w:val="24"/>
                <w:shd w:val="nil" w:color="auto" w:fill="auto"/>
                <w:rtl w:val="0"/>
                <w:lang w:val="en-US"/>
              </w:rPr>
              <w:t xml:space="preserve">— </w:t>
            </w:r>
            <w:r>
              <w:rPr>
                <w:rFonts w:ascii="Times New Roman" w:hAnsi="Times New Roman"/>
                <w:sz w:val="24"/>
                <w:szCs w:val="24"/>
                <w:shd w:val="nil" w:color="auto" w:fill="auto"/>
                <w:rtl w:val="0"/>
                <w:lang w:val="en-US"/>
              </w:rPr>
              <w:t>Empty Input Form with Quick Example Buttons and No Prediction Yet</w:t>
            </w:r>
          </w:p>
        </w:tc>
        <w:tc>
          <w:tcPr>
            <w:tcW w:type="dxa" w:w="850"/>
            <w:tcBorders>
              <w:top w:val="nil"/>
              <w:left w:val="single" w:color="000000" w:sz="8" w:space="0" w:shadow="0" w:frame="0"/>
              <w:bottom w:val="nil"/>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4"/>
                <w:szCs w:val="24"/>
                <w:rtl w:val="0"/>
                <w:lang w:val="en-US"/>
              </w:rPr>
              <w:t>35</w:t>
            </w:r>
          </w:p>
        </w:tc>
      </w:tr>
      <w:tr>
        <w:tblPrEx>
          <w:shd w:val="clear" w:color="auto" w:fill="ced7e7"/>
        </w:tblPrEx>
        <w:trPr>
          <w:trHeight w:val="653" w:hRule="atLeast"/>
        </w:trPr>
        <w:tc>
          <w:tcPr>
            <w:tcW w:type="dxa" w:w="1134"/>
            <w:tcBorders>
              <w:top w:val="nil"/>
              <w:left w:val="single" w:color="000000" w:sz="6" w:space="0" w:shadow="0" w:frame="0"/>
              <w:bottom w:val="nil"/>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4"/>
                <w:szCs w:val="24"/>
                <w:shd w:val="nil" w:color="auto" w:fill="auto"/>
                <w:rtl w:val="0"/>
                <w:lang w:val="en-US"/>
              </w:rPr>
              <w:t>6.7</w:t>
            </w:r>
          </w:p>
        </w:tc>
        <w:tc>
          <w:tcPr>
            <w:tcW w:type="dxa" w:w="6520"/>
            <w:tcBorders>
              <w:top w:val="nil"/>
              <w:left w:val="single" w:color="000000" w:sz="8" w:space="0" w:shadow="0" w:frame="0"/>
              <w:bottom w:val="nil"/>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4"/>
                <w:szCs w:val="24"/>
                <w:shd w:val="nil" w:color="auto" w:fill="auto"/>
                <w:rtl w:val="0"/>
                <w:lang w:val="en-US"/>
              </w:rPr>
              <w:t>SCN1A C</w:t>
            </w:r>
            <w:r>
              <w:rPr>
                <w:rFonts w:ascii="Times New Roman" w:hAnsi="Times New Roman" w:hint="default"/>
                <w:sz w:val="24"/>
                <w:szCs w:val="24"/>
                <w:shd w:val="nil" w:color="auto" w:fill="auto"/>
                <w:rtl w:val="0"/>
                <w:lang w:val="en-US"/>
              </w:rPr>
              <w:t>→</w:t>
            </w:r>
            <w:r>
              <w:rPr>
                <w:rFonts w:ascii="Times New Roman" w:hAnsi="Times New Roman"/>
                <w:sz w:val="24"/>
                <w:szCs w:val="24"/>
                <w:shd w:val="nil" w:color="auto" w:fill="auto"/>
                <w:rtl w:val="0"/>
                <w:lang w:val="en-US"/>
              </w:rPr>
              <w:t xml:space="preserve">T Nonsense Variant </w:t>
            </w:r>
            <w:r>
              <w:rPr>
                <w:rFonts w:ascii="Times New Roman" w:hAnsi="Times New Roman" w:hint="default"/>
                <w:sz w:val="24"/>
                <w:szCs w:val="24"/>
                <w:shd w:val="nil" w:color="auto" w:fill="auto"/>
                <w:rtl w:val="0"/>
                <w:lang w:val="en-US"/>
              </w:rPr>
              <w:t xml:space="preserve">— </w:t>
            </w:r>
            <w:r>
              <w:rPr>
                <w:rFonts w:ascii="Times New Roman" w:hAnsi="Times New Roman"/>
                <w:sz w:val="24"/>
                <w:szCs w:val="24"/>
                <w:shd w:val="nil" w:color="auto" w:fill="auto"/>
                <w:rtl w:val="0"/>
                <w:lang w:val="en-US"/>
              </w:rPr>
              <w:t>Filled Form with Pathogenic Result (99.5% Confidence) and ACMG Score +9</w:t>
            </w:r>
          </w:p>
        </w:tc>
        <w:tc>
          <w:tcPr>
            <w:tcW w:type="dxa" w:w="850"/>
            <w:tcBorders>
              <w:top w:val="nil"/>
              <w:left w:val="single" w:color="000000" w:sz="8" w:space="0" w:shadow="0" w:frame="0"/>
              <w:bottom w:val="nil"/>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4"/>
                <w:szCs w:val="24"/>
                <w:rtl w:val="0"/>
                <w:lang w:val="en-US"/>
              </w:rPr>
              <w:t>35</w:t>
            </w:r>
          </w:p>
        </w:tc>
      </w:tr>
      <w:tr>
        <w:tblPrEx>
          <w:shd w:val="clear" w:color="auto" w:fill="ced7e7"/>
        </w:tblPrEx>
        <w:trPr>
          <w:trHeight w:val="653" w:hRule="atLeast"/>
        </w:trPr>
        <w:tc>
          <w:tcPr>
            <w:tcW w:type="dxa" w:w="1134"/>
            <w:tcBorders>
              <w:top w:val="nil"/>
              <w:left w:val="single" w:color="000000" w:sz="6" w:space="0" w:shadow="0" w:frame="0"/>
              <w:bottom w:val="nil"/>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4"/>
                <w:szCs w:val="24"/>
                <w:shd w:val="nil" w:color="auto" w:fill="auto"/>
                <w:rtl w:val="0"/>
                <w:lang w:val="en-US"/>
              </w:rPr>
              <w:t>6.8</w:t>
            </w:r>
          </w:p>
        </w:tc>
        <w:tc>
          <w:tcPr>
            <w:tcW w:type="dxa" w:w="6520"/>
            <w:tcBorders>
              <w:top w:val="nil"/>
              <w:left w:val="single" w:color="000000" w:sz="8" w:space="0" w:shadow="0" w:frame="0"/>
              <w:bottom w:val="nil"/>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4"/>
                <w:szCs w:val="24"/>
                <w:shd w:val="nil" w:color="auto" w:fill="auto"/>
                <w:rtl w:val="0"/>
                <w:lang w:val="en-US"/>
              </w:rPr>
              <w:t xml:space="preserve">ACMG/AMP Classification Panel </w:t>
            </w:r>
            <w:r>
              <w:rPr>
                <w:rFonts w:ascii="Times New Roman" w:hAnsi="Times New Roman" w:hint="default"/>
                <w:sz w:val="24"/>
                <w:szCs w:val="24"/>
                <w:shd w:val="nil" w:color="auto" w:fill="auto"/>
                <w:rtl w:val="0"/>
                <w:lang w:val="en-US"/>
              </w:rPr>
              <w:t xml:space="preserve">— </w:t>
            </w:r>
            <w:r>
              <w:rPr>
                <w:rFonts w:ascii="Times New Roman" w:hAnsi="Times New Roman"/>
                <w:sz w:val="24"/>
                <w:szCs w:val="24"/>
                <w:shd w:val="nil" w:color="auto" w:fill="auto"/>
                <w:rtl w:val="0"/>
                <w:lang w:val="en-US"/>
              </w:rPr>
              <w:t>Evidence Score +9, PVS1 Very Strong and PP3 Supporting Criteria</w:t>
            </w:r>
          </w:p>
        </w:tc>
        <w:tc>
          <w:tcPr>
            <w:tcW w:type="dxa" w:w="850"/>
            <w:tcBorders>
              <w:top w:val="nil"/>
              <w:left w:val="single" w:color="000000" w:sz="8" w:space="0" w:shadow="0" w:frame="0"/>
              <w:bottom w:val="nil"/>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4"/>
                <w:szCs w:val="24"/>
                <w:rtl w:val="0"/>
                <w:lang w:val="en-US"/>
              </w:rPr>
              <w:t>36</w:t>
            </w:r>
          </w:p>
        </w:tc>
      </w:tr>
      <w:tr>
        <w:tblPrEx>
          <w:shd w:val="clear" w:color="auto" w:fill="ced7e7"/>
        </w:tblPrEx>
        <w:trPr>
          <w:trHeight w:val="653" w:hRule="atLeast"/>
        </w:trPr>
        <w:tc>
          <w:tcPr>
            <w:tcW w:type="dxa" w:w="1134"/>
            <w:tcBorders>
              <w:top w:val="nil"/>
              <w:left w:val="single" w:color="000000" w:sz="6" w:space="0" w:shadow="0" w:frame="0"/>
              <w:bottom w:val="nil"/>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4"/>
                <w:szCs w:val="24"/>
                <w:shd w:val="nil" w:color="auto" w:fill="auto"/>
                <w:rtl w:val="0"/>
                <w:lang w:val="en-US"/>
              </w:rPr>
              <w:t>6.9</w:t>
            </w:r>
          </w:p>
        </w:tc>
        <w:tc>
          <w:tcPr>
            <w:tcW w:type="dxa" w:w="6520"/>
            <w:tcBorders>
              <w:top w:val="nil"/>
              <w:left w:val="single" w:color="000000" w:sz="8" w:space="0" w:shadow="0" w:frame="0"/>
              <w:bottom w:val="nil"/>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4"/>
                <w:szCs w:val="24"/>
                <w:shd w:val="nil" w:color="auto" w:fill="auto"/>
                <w:rtl w:val="0"/>
                <w:lang w:val="en-US"/>
              </w:rPr>
              <w:t xml:space="preserve">Diagnostic Results Tab </w:t>
            </w:r>
            <w:r>
              <w:rPr>
                <w:rFonts w:ascii="Times New Roman" w:hAnsi="Times New Roman" w:hint="default"/>
                <w:sz w:val="24"/>
                <w:szCs w:val="24"/>
                <w:shd w:val="nil" w:color="auto" w:fill="auto"/>
                <w:rtl w:val="0"/>
                <w:lang w:val="en-US"/>
              </w:rPr>
              <w:t xml:space="preserve">— </w:t>
            </w:r>
            <w:r>
              <w:rPr>
                <w:rFonts w:ascii="Times New Roman" w:hAnsi="Times New Roman"/>
                <w:sz w:val="24"/>
                <w:szCs w:val="24"/>
                <w:shd w:val="nil" w:color="auto" w:fill="auto"/>
                <w:rtl w:val="0"/>
                <w:lang w:val="en-US"/>
              </w:rPr>
              <w:t>Variant Interpretation, Contradictory Evidence and Why This Variant Matters Clinically</w:t>
            </w:r>
          </w:p>
        </w:tc>
        <w:tc>
          <w:tcPr>
            <w:tcW w:type="dxa" w:w="850"/>
            <w:tcBorders>
              <w:top w:val="nil"/>
              <w:left w:val="single" w:color="000000" w:sz="8" w:space="0" w:shadow="0" w:frame="0"/>
              <w:bottom w:val="nil"/>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4"/>
                <w:szCs w:val="24"/>
                <w:rtl w:val="0"/>
                <w:lang w:val="en-US"/>
              </w:rPr>
              <w:t>36</w:t>
            </w:r>
          </w:p>
        </w:tc>
      </w:tr>
      <w:tr>
        <w:tblPrEx>
          <w:shd w:val="clear" w:color="auto" w:fill="ced7e7"/>
        </w:tblPrEx>
        <w:trPr>
          <w:trHeight w:val="651" w:hRule="atLeast"/>
        </w:trPr>
        <w:tc>
          <w:tcPr>
            <w:tcW w:type="dxa" w:w="1134"/>
            <w:tcBorders>
              <w:top w:val="nil"/>
              <w:left w:val="single" w:color="000000" w:sz="6" w:space="0" w:shadow="0" w:frame="0"/>
              <w:bottom w:val="single" w:color="000000" w:sz="6" w:space="0" w:shadow="0" w:frame="0"/>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4"/>
                <w:szCs w:val="24"/>
                <w:shd w:val="nil" w:color="auto" w:fill="auto"/>
                <w:rtl w:val="0"/>
                <w:lang w:val="en-US"/>
              </w:rPr>
              <w:t>6.10</w:t>
            </w:r>
          </w:p>
        </w:tc>
        <w:tc>
          <w:tcPr>
            <w:tcW w:type="dxa" w:w="6520"/>
            <w:tcBorders>
              <w:top w:val="nil"/>
              <w:left w:val="single" w:color="000000" w:sz="8" w:space="0" w:shadow="0" w:frame="0"/>
              <w:bottom w:val="single" w:color="000000" w:sz="6" w:space="0" w:shadow="0" w:frame="0"/>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4"/>
                <w:szCs w:val="24"/>
                <w:shd w:val="nil" w:color="auto" w:fill="auto"/>
                <w:rtl w:val="0"/>
                <w:lang w:val="en-US"/>
              </w:rPr>
              <w:t xml:space="preserve">RAG Follow-up Chat </w:t>
            </w:r>
            <w:r>
              <w:rPr>
                <w:rFonts w:ascii="Times New Roman" w:hAnsi="Times New Roman" w:hint="default"/>
                <w:sz w:val="24"/>
                <w:szCs w:val="24"/>
                <w:shd w:val="nil" w:color="auto" w:fill="auto"/>
                <w:rtl w:val="0"/>
                <w:lang w:val="en-US"/>
              </w:rPr>
              <w:t xml:space="preserve">— </w:t>
            </w:r>
            <w:r>
              <w:rPr>
                <w:rFonts w:ascii="Times New Roman" w:hAnsi="Times New Roman"/>
                <w:sz w:val="24"/>
                <w:szCs w:val="24"/>
                <w:shd w:val="nil" w:color="auto" w:fill="auto"/>
                <w:rtl w:val="0"/>
                <w:lang w:val="en-US"/>
              </w:rPr>
              <w:t>Contraindicated Medications and Gene-Specific LLM Clinical Reasoning</w:t>
            </w:r>
          </w:p>
        </w:tc>
        <w:tc>
          <w:tcPr>
            <w:tcW w:type="dxa" w:w="850"/>
            <w:tcBorders>
              <w:top w:val="nil"/>
              <w:left w:val="single" w:color="000000" w:sz="8"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4"/>
                <w:szCs w:val="24"/>
                <w:rtl w:val="0"/>
                <w:lang w:val="en-US"/>
              </w:rPr>
              <w:t>37</w:t>
            </w:r>
          </w:p>
        </w:tc>
      </w:tr>
    </w:tbl>
    <w:p>
      <w:pPr>
        <w:pStyle w:val="Body"/>
        <w:widowControl w:val="0"/>
        <w:spacing w:before="360" w:after="280" w:line="240" w:lineRule="auto"/>
        <w:jc w:val="center"/>
      </w:pPr>
    </w:p>
    <w:p>
      <w:pPr>
        <w:pStyle w:val="Body"/>
      </w:pPr>
      <w:r>
        <w:rPr>
          <w:rFonts w:ascii="Arial Unicode MS" w:cs="Arial Unicode MS" w:hAnsi="Arial Unicode MS" w:eastAsia="Arial Unicode MS"/>
          <w:b w:val="0"/>
          <w:bCs w:val="0"/>
          <w:i w:val="0"/>
          <w:iCs w:val="0"/>
        </w:rPr>
        <w:br w:type="page"/>
      </w:r>
    </w:p>
    <w:p>
      <w:pPr>
        <w:pStyle w:val="Body"/>
        <w:spacing w:before="360" w:after="280"/>
        <w:jc w:val="center"/>
      </w:pPr>
      <w:r>
        <w:rPr>
          <w:rFonts w:ascii="Times New Roman" w:hAnsi="Times New Roman"/>
          <w:b w:val="1"/>
          <w:bCs w:val="1"/>
          <w:sz w:val="28"/>
          <w:szCs w:val="28"/>
          <w:rtl w:val="0"/>
          <w:lang w:val="en-US"/>
        </w:rPr>
        <w:t>LIST OF TABLES</w:t>
      </w:r>
    </w:p>
    <w:tbl>
      <w:tblPr>
        <w:tblW w:w="850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000000" w:sz="8" w:space="0" w:shadow="0" w:frame="0"/>
          <w:insideV w:val="single" w:color="000000" w:sz="8" w:space="0" w:shadow="0" w:frame="0"/>
        </w:tblBorders>
        <w:shd w:val="clear" w:color="auto" w:fill="ced7e7"/>
        <w:tblLayout w:type="fixed"/>
      </w:tblPr>
      <w:tblGrid>
        <w:gridCol w:w="1134"/>
        <w:gridCol w:w="6520"/>
        <w:gridCol w:w="850"/>
      </w:tblGrid>
      <w:tr>
        <w:tblPrEx>
          <w:shd w:val="clear" w:color="auto" w:fill="ced7e7"/>
        </w:tblPrEx>
        <w:trPr>
          <w:trHeight w:val="651" w:hRule="atLeast"/>
        </w:trPr>
        <w:tc>
          <w:tcPr>
            <w:tcW w:type="dxa" w:w="1134"/>
            <w:tcBorders>
              <w:top w:val="single" w:color="000000" w:sz="6" w:space="0" w:shadow="0" w:frame="0"/>
              <w:left w:val="single" w:color="000000" w:sz="6"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b w:val="1"/>
                <w:bCs w:val="1"/>
                <w:sz w:val="24"/>
                <w:szCs w:val="24"/>
                <w:shd w:val="nil" w:color="auto" w:fill="auto"/>
                <w:rtl w:val="0"/>
                <w:lang w:val="en-US"/>
              </w:rPr>
              <w:t>Table No.</w:t>
            </w:r>
          </w:p>
        </w:tc>
        <w:tc>
          <w:tcPr>
            <w:tcW w:type="dxa" w:w="6520"/>
            <w:tcBorders>
              <w:top w:val="single" w:color="000000" w:sz="6"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b w:val="1"/>
                <w:bCs w:val="1"/>
                <w:sz w:val="24"/>
                <w:szCs w:val="24"/>
                <w:shd w:val="nil" w:color="auto" w:fill="auto"/>
                <w:rtl w:val="0"/>
                <w:lang w:val="en-US"/>
              </w:rPr>
              <w:t>Table Description</w:t>
            </w:r>
          </w:p>
        </w:tc>
        <w:tc>
          <w:tcPr>
            <w:tcW w:type="dxa" w:w="850"/>
            <w:tcBorders>
              <w:top w:val="single" w:color="000000" w:sz="6" w:space="0" w:shadow="0" w:frame="0"/>
              <w:left w:val="single" w:color="000000" w:sz="8" w:space="0" w:shadow="0" w:frame="0"/>
              <w:bottom w:val="single" w:color="000000" w:sz="8"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b w:val="1"/>
                <w:bCs w:val="1"/>
                <w:sz w:val="24"/>
                <w:szCs w:val="24"/>
                <w:shd w:val="nil" w:color="auto" w:fill="auto"/>
                <w:rtl w:val="0"/>
                <w:lang w:val="en-US"/>
              </w:rPr>
              <w:t>Page No.</w:t>
            </w:r>
          </w:p>
        </w:tc>
      </w:tr>
      <w:tr>
        <w:tblPrEx>
          <w:shd w:val="clear" w:color="auto" w:fill="ced7e7"/>
        </w:tblPrEx>
        <w:trPr>
          <w:trHeight w:val="310" w:hRule="atLeast"/>
        </w:trPr>
        <w:tc>
          <w:tcPr>
            <w:tcW w:type="dxa" w:w="1134"/>
            <w:tcBorders>
              <w:top w:val="single" w:color="000000" w:sz="8" w:space="0" w:shadow="0" w:frame="0"/>
              <w:left w:val="single" w:color="000000" w:sz="6" w:space="0" w:shadow="0" w:frame="0"/>
              <w:bottom w:val="nil"/>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4"/>
                <w:szCs w:val="24"/>
                <w:shd w:val="nil" w:color="auto" w:fill="auto"/>
                <w:rtl w:val="0"/>
                <w:lang w:val="en-US"/>
              </w:rPr>
              <w:t>1.1</w:t>
            </w:r>
          </w:p>
        </w:tc>
        <w:tc>
          <w:tcPr>
            <w:tcW w:type="dxa" w:w="6520"/>
            <w:tcBorders>
              <w:top w:val="single" w:color="000000" w:sz="8" w:space="0" w:shadow="0" w:frame="0"/>
              <w:left w:val="single" w:color="000000" w:sz="8" w:space="0" w:shadow="0" w:frame="0"/>
              <w:bottom w:val="nil"/>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4"/>
                <w:szCs w:val="24"/>
                <w:shd w:val="nil" w:color="auto" w:fill="auto"/>
                <w:rtl w:val="0"/>
                <w:lang w:val="en-US"/>
              </w:rPr>
              <w:t>Project Gantt Chart</w:t>
            </w:r>
          </w:p>
        </w:tc>
        <w:tc>
          <w:tcPr>
            <w:tcW w:type="dxa" w:w="850"/>
            <w:tcBorders>
              <w:top w:val="single" w:color="000000" w:sz="8" w:space="0" w:shadow="0" w:frame="0"/>
              <w:left w:val="single" w:color="000000" w:sz="8" w:space="0" w:shadow="0" w:frame="0"/>
              <w:bottom w:val="nil"/>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4"/>
                <w:szCs w:val="24"/>
                <w:rtl w:val="0"/>
                <w:lang w:val="en-US"/>
              </w:rPr>
              <w:t>6</w:t>
            </w:r>
          </w:p>
        </w:tc>
      </w:tr>
      <w:tr>
        <w:tblPrEx>
          <w:shd w:val="clear" w:color="auto" w:fill="ced7e7"/>
        </w:tblPrEx>
        <w:trPr>
          <w:trHeight w:val="310" w:hRule="atLeast"/>
        </w:trPr>
        <w:tc>
          <w:tcPr>
            <w:tcW w:type="dxa" w:w="1134"/>
            <w:tcBorders>
              <w:top w:val="nil"/>
              <w:left w:val="single" w:color="000000" w:sz="6" w:space="0" w:shadow="0" w:frame="0"/>
              <w:bottom w:val="nil"/>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4"/>
                <w:szCs w:val="24"/>
                <w:shd w:val="nil" w:color="auto" w:fill="auto"/>
                <w:rtl w:val="0"/>
                <w:lang w:val="en-US"/>
              </w:rPr>
              <w:t>2.1</w:t>
            </w:r>
          </w:p>
        </w:tc>
        <w:tc>
          <w:tcPr>
            <w:tcW w:type="dxa" w:w="6520"/>
            <w:tcBorders>
              <w:top w:val="nil"/>
              <w:left w:val="single" w:color="000000" w:sz="8" w:space="0" w:shadow="0" w:frame="0"/>
              <w:bottom w:val="nil"/>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4"/>
                <w:szCs w:val="24"/>
                <w:shd w:val="nil" w:color="auto" w:fill="auto"/>
                <w:rtl w:val="0"/>
                <w:lang w:val="en-US"/>
              </w:rPr>
              <w:t>Summary of Related Works</w:t>
            </w:r>
          </w:p>
        </w:tc>
        <w:tc>
          <w:tcPr>
            <w:tcW w:type="dxa" w:w="850"/>
            <w:tcBorders>
              <w:top w:val="nil"/>
              <w:left w:val="single" w:color="000000" w:sz="8" w:space="0" w:shadow="0" w:frame="0"/>
              <w:bottom w:val="nil"/>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4"/>
                <w:szCs w:val="24"/>
                <w:shd w:val="nil" w:color="auto" w:fill="auto"/>
                <w:rtl w:val="0"/>
                <w:lang w:val="en-US"/>
              </w:rPr>
              <w:t>1</w:t>
            </w:r>
            <w:r>
              <w:rPr>
                <w:rFonts w:ascii="Times New Roman" w:hAnsi="Times New Roman"/>
                <w:sz w:val="24"/>
                <w:szCs w:val="24"/>
                <w:shd w:val="nil" w:color="auto" w:fill="auto"/>
                <w:rtl w:val="0"/>
                <w:lang w:val="en-US"/>
              </w:rPr>
              <w:t>0</w:t>
            </w:r>
          </w:p>
        </w:tc>
      </w:tr>
      <w:tr>
        <w:tblPrEx>
          <w:shd w:val="clear" w:color="auto" w:fill="ced7e7"/>
        </w:tblPrEx>
        <w:trPr>
          <w:trHeight w:val="310" w:hRule="atLeast"/>
        </w:trPr>
        <w:tc>
          <w:tcPr>
            <w:tcW w:type="dxa" w:w="1134"/>
            <w:tcBorders>
              <w:top w:val="nil"/>
              <w:left w:val="single" w:color="000000" w:sz="6" w:space="0" w:shadow="0" w:frame="0"/>
              <w:bottom w:val="nil"/>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4"/>
                <w:szCs w:val="24"/>
                <w:shd w:val="nil" w:color="auto" w:fill="auto"/>
                <w:rtl w:val="0"/>
                <w:lang w:val="en-US"/>
              </w:rPr>
              <w:t>3.1</w:t>
            </w:r>
          </w:p>
        </w:tc>
        <w:tc>
          <w:tcPr>
            <w:tcW w:type="dxa" w:w="6520"/>
            <w:tcBorders>
              <w:top w:val="nil"/>
              <w:left w:val="single" w:color="000000" w:sz="8" w:space="0" w:shadow="0" w:frame="0"/>
              <w:bottom w:val="nil"/>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4"/>
                <w:szCs w:val="24"/>
                <w:shd w:val="nil" w:color="auto" w:fill="auto"/>
                <w:rtl w:val="0"/>
                <w:lang w:val="en-US"/>
              </w:rPr>
              <w:t>Hardware Requirements</w:t>
            </w:r>
          </w:p>
        </w:tc>
        <w:tc>
          <w:tcPr>
            <w:tcW w:type="dxa" w:w="850"/>
            <w:tcBorders>
              <w:top w:val="nil"/>
              <w:left w:val="single" w:color="000000" w:sz="8" w:space="0" w:shadow="0" w:frame="0"/>
              <w:bottom w:val="nil"/>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4"/>
                <w:szCs w:val="24"/>
                <w:shd w:val="nil" w:color="auto" w:fill="auto"/>
                <w:rtl w:val="0"/>
                <w:lang w:val="en-US"/>
              </w:rPr>
              <w:t>1</w:t>
            </w:r>
            <w:r>
              <w:rPr>
                <w:rFonts w:ascii="Times New Roman" w:hAnsi="Times New Roman"/>
                <w:sz w:val="24"/>
                <w:szCs w:val="24"/>
                <w:shd w:val="nil" w:color="auto" w:fill="auto"/>
                <w:rtl w:val="0"/>
                <w:lang w:val="en-US"/>
              </w:rPr>
              <w:t>2</w:t>
            </w:r>
          </w:p>
        </w:tc>
      </w:tr>
      <w:tr>
        <w:tblPrEx>
          <w:shd w:val="clear" w:color="auto" w:fill="ced7e7"/>
        </w:tblPrEx>
        <w:trPr>
          <w:trHeight w:val="310" w:hRule="atLeast"/>
        </w:trPr>
        <w:tc>
          <w:tcPr>
            <w:tcW w:type="dxa" w:w="1134"/>
            <w:tcBorders>
              <w:top w:val="nil"/>
              <w:left w:val="single" w:color="000000" w:sz="6" w:space="0" w:shadow="0" w:frame="0"/>
              <w:bottom w:val="nil"/>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4"/>
                <w:szCs w:val="24"/>
                <w:shd w:val="nil" w:color="auto" w:fill="auto"/>
                <w:rtl w:val="0"/>
                <w:lang w:val="en-US"/>
              </w:rPr>
              <w:t>3.2</w:t>
            </w:r>
          </w:p>
        </w:tc>
        <w:tc>
          <w:tcPr>
            <w:tcW w:type="dxa" w:w="6520"/>
            <w:tcBorders>
              <w:top w:val="nil"/>
              <w:left w:val="single" w:color="000000" w:sz="8" w:space="0" w:shadow="0" w:frame="0"/>
              <w:bottom w:val="nil"/>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4"/>
                <w:szCs w:val="24"/>
                <w:shd w:val="nil" w:color="auto" w:fill="auto"/>
                <w:rtl w:val="0"/>
                <w:lang w:val="en-US"/>
              </w:rPr>
              <w:t>Software Requirements</w:t>
            </w:r>
          </w:p>
        </w:tc>
        <w:tc>
          <w:tcPr>
            <w:tcW w:type="dxa" w:w="850"/>
            <w:tcBorders>
              <w:top w:val="nil"/>
              <w:left w:val="single" w:color="000000" w:sz="8" w:space="0" w:shadow="0" w:frame="0"/>
              <w:bottom w:val="nil"/>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4"/>
                <w:szCs w:val="24"/>
                <w:shd w:val="nil" w:color="auto" w:fill="auto"/>
                <w:rtl w:val="0"/>
                <w:lang w:val="en-US"/>
              </w:rPr>
              <w:t>1</w:t>
            </w:r>
            <w:r>
              <w:rPr>
                <w:rFonts w:ascii="Times New Roman" w:hAnsi="Times New Roman"/>
                <w:sz w:val="24"/>
                <w:szCs w:val="24"/>
                <w:shd w:val="nil" w:color="auto" w:fill="auto"/>
                <w:rtl w:val="0"/>
                <w:lang w:val="en-US"/>
              </w:rPr>
              <w:t>2-13</w:t>
            </w:r>
          </w:p>
        </w:tc>
      </w:tr>
      <w:tr>
        <w:tblPrEx>
          <w:shd w:val="clear" w:color="auto" w:fill="ced7e7"/>
        </w:tblPrEx>
        <w:trPr>
          <w:trHeight w:val="310" w:hRule="atLeast"/>
        </w:trPr>
        <w:tc>
          <w:tcPr>
            <w:tcW w:type="dxa" w:w="1134"/>
            <w:tcBorders>
              <w:top w:val="nil"/>
              <w:left w:val="single" w:color="000000" w:sz="6" w:space="0" w:shadow="0" w:frame="0"/>
              <w:bottom w:val="nil"/>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4"/>
                <w:szCs w:val="24"/>
                <w:shd w:val="nil" w:color="auto" w:fill="auto"/>
                <w:rtl w:val="0"/>
                <w:lang w:val="en-US"/>
              </w:rPr>
              <w:t>3.3</w:t>
            </w:r>
          </w:p>
        </w:tc>
        <w:tc>
          <w:tcPr>
            <w:tcW w:type="dxa" w:w="6520"/>
            <w:tcBorders>
              <w:top w:val="nil"/>
              <w:left w:val="single" w:color="000000" w:sz="8" w:space="0" w:shadow="0" w:frame="0"/>
              <w:bottom w:val="nil"/>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4"/>
                <w:szCs w:val="24"/>
                <w:shd w:val="nil" w:color="auto" w:fill="auto"/>
                <w:rtl w:val="0"/>
                <w:lang w:val="en-US"/>
              </w:rPr>
              <w:t>Functional Requirements</w:t>
            </w:r>
          </w:p>
        </w:tc>
        <w:tc>
          <w:tcPr>
            <w:tcW w:type="dxa" w:w="850"/>
            <w:tcBorders>
              <w:top w:val="nil"/>
              <w:left w:val="single" w:color="000000" w:sz="8" w:space="0" w:shadow="0" w:frame="0"/>
              <w:bottom w:val="nil"/>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4"/>
                <w:szCs w:val="24"/>
                <w:shd w:val="nil" w:color="auto" w:fill="auto"/>
                <w:rtl w:val="0"/>
                <w:lang w:val="en-US"/>
              </w:rPr>
              <w:t>1</w:t>
            </w:r>
            <w:r>
              <w:rPr>
                <w:rFonts w:ascii="Times New Roman" w:hAnsi="Times New Roman"/>
                <w:sz w:val="24"/>
                <w:szCs w:val="24"/>
                <w:shd w:val="nil" w:color="auto" w:fill="auto"/>
                <w:rtl w:val="0"/>
                <w:lang w:val="en-US"/>
              </w:rPr>
              <w:t>3-14</w:t>
            </w:r>
          </w:p>
        </w:tc>
      </w:tr>
      <w:tr>
        <w:tblPrEx>
          <w:shd w:val="clear" w:color="auto" w:fill="ced7e7"/>
        </w:tblPrEx>
        <w:trPr>
          <w:trHeight w:val="310" w:hRule="atLeast"/>
        </w:trPr>
        <w:tc>
          <w:tcPr>
            <w:tcW w:type="dxa" w:w="1134"/>
            <w:tcBorders>
              <w:top w:val="nil"/>
              <w:left w:val="single" w:color="000000" w:sz="6" w:space="0" w:shadow="0" w:frame="0"/>
              <w:bottom w:val="nil"/>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4"/>
                <w:szCs w:val="24"/>
                <w:shd w:val="nil" w:color="auto" w:fill="auto"/>
                <w:rtl w:val="0"/>
                <w:lang w:val="en-US"/>
              </w:rPr>
              <w:t>3.4</w:t>
            </w:r>
          </w:p>
        </w:tc>
        <w:tc>
          <w:tcPr>
            <w:tcW w:type="dxa" w:w="6520"/>
            <w:tcBorders>
              <w:top w:val="nil"/>
              <w:left w:val="single" w:color="000000" w:sz="8" w:space="0" w:shadow="0" w:frame="0"/>
              <w:bottom w:val="nil"/>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4"/>
                <w:szCs w:val="24"/>
                <w:shd w:val="nil" w:color="auto" w:fill="auto"/>
                <w:rtl w:val="0"/>
                <w:lang w:val="en-US"/>
              </w:rPr>
              <w:t>Non-Functional Requirements</w:t>
            </w:r>
          </w:p>
        </w:tc>
        <w:tc>
          <w:tcPr>
            <w:tcW w:type="dxa" w:w="850"/>
            <w:tcBorders>
              <w:top w:val="nil"/>
              <w:left w:val="single" w:color="000000" w:sz="8" w:space="0" w:shadow="0" w:frame="0"/>
              <w:bottom w:val="nil"/>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4"/>
                <w:szCs w:val="24"/>
                <w:shd w:val="nil" w:color="auto" w:fill="auto"/>
                <w:rtl w:val="0"/>
                <w:lang w:val="en-US"/>
              </w:rPr>
              <w:t>1</w:t>
            </w:r>
            <w:r>
              <w:rPr>
                <w:rFonts w:ascii="Times New Roman" w:hAnsi="Times New Roman"/>
                <w:sz w:val="24"/>
                <w:szCs w:val="24"/>
                <w:shd w:val="nil" w:color="auto" w:fill="auto"/>
                <w:rtl w:val="0"/>
                <w:lang w:val="en-US"/>
              </w:rPr>
              <w:t>4</w:t>
            </w:r>
          </w:p>
        </w:tc>
      </w:tr>
      <w:tr>
        <w:tblPrEx>
          <w:shd w:val="clear" w:color="auto" w:fill="ced7e7"/>
        </w:tblPrEx>
        <w:trPr>
          <w:trHeight w:val="310" w:hRule="atLeast"/>
        </w:trPr>
        <w:tc>
          <w:tcPr>
            <w:tcW w:type="dxa" w:w="1134"/>
            <w:tcBorders>
              <w:top w:val="nil"/>
              <w:left w:val="single" w:color="000000" w:sz="6" w:space="0" w:shadow="0" w:frame="0"/>
              <w:bottom w:val="nil"/>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4"/>
                <w:szCs w:val="24"/>
                <w:shd w:val="nil" w:color="auto" w:fill="auto"/>
                <w:rtl w:val="0"/>
                <w:lang w:val="en-US"/>
              </w:rPr>
              <w:t>4.1</w:t>
            </w:r>
          </w:p>
        </w:tc>
        <w:tc>
          <w:tcPr>
            <w:tcW w:type="dxa" w:w="6520"/>
            <w:tcBorders>
              <w:top w:val="nil"/>
              <w:left w:val="single" w:color="000000" w:sz="8" w:space="0" w:shadow="0" w:frame="0"/>
              <w:bottom w:val="nil"/>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4"/>
                <w:szCs w:val="24"/>
                <w:shd w:val="nil" w:color="auto" w:fill="auto"/>
                <w:rtl w:val="0"/>
                <w:lang w:val="en-US"/>
              </w:rPr>
              <w:t>Summary of Tools and Technologies</w:t>
            </w:r>
          </w:p>
        </w:tc>
        <w:tc>
          <w:tcPr>
            <w:tcW w:type="dxa" w:w="850"/>
            <w:tcBorders>
              <w:top w:val="nil"/>
              <w:left w:val="single" w:color="000000" w:sz="8" w:space="0" w:shadow="0" w:frame="0"/>
              <w:bottom w:val="nil"/>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4"/>
                <w:szCs w:val="24"/>
                <w:rtl w:val="0"/>
                <w:lang w:val="en-US"/>
              </w:rPr>
              <w:t>18</w:t>
            </w:r>
          </w:p>
        </w:tc>
      </w:tr>
      <w:tr>
        <w:tblPrEx>
          <w:shd w:val="clear" w:color="auto" w:fill="ced7e7"/>
        </w:tblPrEx>
        <w:trPr>
          <w:trHeight w:val="310" w:hRule="atLeast"/>
        </w:trPr>
        <w:tc>
          <w:tcPr>
            <w:tcW w:type="dxa" w:w="1134"/>
            <w:tcBorders>
              <w:top w:val="nil"/>
              <w:left w:val="single" w:color="000000" w:sz="6" w:space="0" w:shadow="0" w:frame="0"/>
              <w:bottom w:val="nil"/>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4"/>
                <w:szCs w:val="24"/>
                <w:shd w:val="nil" w:color="auto" w:fill="auto"/>
                <w:rtl w:val="0"/>
                <w:lang w:val="en-US"/>
              </w:rPr>
              <w:t>5.1</w:t>
            </w:r>
          </w:p>
        </w:tc>
        <w:tc>
          <w:tcPr>
            <w:tcW w:type="dxa" w:w="6520"/>
            <w:tcBorders>
              <w:top w:val="nil"/>
              <w:left w:val="single" w:color="000000" w:sz="8" w:space="0" w:shadow="0" w:frame="0"/>
              <w:bottom w:val="nil"/>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4"/>
                <w:szCs w:val="24"/>
                <w:shd w:val="nil" w:color="auto" w:fill="auto"/>
                <w:rtl w:val="0"/>
                <w:lang w:val="en-US"/>
              </w:rPr>
              <w:t>ACMG/AMP Criterion Points (Tavtigian et al. 2018)</w:t>
            </w:r>
          </w:p>
        </w:tc>
        <w:tc>
          <w:tcPr>
            <w:tcW w:type="dxa" w:w="850"/>
            <w:tcBorders>
              <w:top w:val="nil"/>
              <w:left w:val="single" w:color="000000" w:sz="8" w:space="0" w:shadow="0" w:frame="0"/>
              <w:bottom w:val="nil"/>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4"/>
                <w:szCs w:val="24"/>
                <w:rtl w:val="0"/>
                <w:lang w:val="en-US"/>
              </w:rPr>
              <w:t>22</w:t>
            </w:r>
          </w:p>
        </w:tc>
      </w:tr>
      <w:tr>
        <w:tblPrEx>
          <w:shd w:val="clear" w:color="auto" w:fill="ced7e7"/>
        </w:tblPrEx>
        <w:trPr>
          <w:trHeight w:val="310" w:hRule="atLeast"/>
        </w:trPr>
        <w:tc>
          <w:tcPr>
            <w:tcW w:type="dxa" w:w="1134"/>
            <w:tcBorders>
              <w:top w:val="nil"/>
              <w:left w:val="single" w:color="000000" w:sz="6" w:space="0" w:shadow="0" w:frame="0"/>
              <w:bottom w:val="nil"/>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4"/>
                <w:szCs w:val="24"/>
                <w:shd w:val="nil" w:color="auto" w:fill="auto"/>
                <w:rtl w:val="0"/>
                <w:lang w:val="en-US"/>
              </w:rPr>
              <w:t>5.2</w:t>
            </w:r>
          </w:p>
        </w:tc>
        <w:tc>
          <w:tcPr>
            <w:tcW w:type="dxa" w:w="6520"/>
            <w:tcBorders>
              <w:top w:val="nil"/>
              <w:left w:val="single" w:color="000000" w:sz="8" w:space="0" w:shadow="0" w:frame="0"/>
              <w:bottom w:val="nil"/>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4"/>
                <w:szCs w:val="24"/>
                <w:shd w:val="nil" w:color="auto" w:fill="auto"/>
                <w:rtl w:val="0"/>
                <w:lang w:val="en-US"/>
              </w:rPr>
              <w:t>Five-Tier Classification Score Thresholds</w:t>
            </w:r>
          </w:p>
        </w:tc>
        <w:tc>
          <w:tcPr>
            <w:tcW w:type="dxa" w:w="850"/>
            <w:tcBorders>
              <w:top w:val="nil"/>
              <w:left w:val="single" w:color="000000" w:sz="8" w:space="0" w:shadow="0" w:frame="0"/>
              <w:bottom w:val="nil"/>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4"/>
                <w:szCs w:val="24"/>
                <w:rtl w:val="0"/>
                <w:lang w:val="en-US"/>
              </w:rPr>
              <w:t>23</w:t>
            </w:r>
          </w:p>
        </w:tc>
      </w:tr>
      <w:tr>
        <w:tblPrEx>
          <w:shd w:val="clear" w:color="auto" w:fill="ced7e7"/>
        </w:tblPrEx>
        <w:trPr>
          <w:trHeight w:val="310" w:hRule="atLeast"/>
        </w:trPr>
        <w:tc>
          <w:tcPr>
            <w:tcW w:type="dxa" w:w="1134"/>
            <w:tcBorders>
              <w:top w:val="nil"/>
              <w:left w:val="single" w:color="000000" w:sz="6" w:space="0" w:shadow="0" w:frame="0"/>
              <w:bottom w:val="nil"/>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4"/>
                <w:szCs w:val="24"/>
                <w:shd w:val="nil" w:color="auto" w:fill="auto"/>
                <w:rtl w:val="0"/>
                <w:lang w:val="en-US"/>
              </w:rPr>
              <w:t>6.1</w:t>
            </w:r>
          </w:p>
        </w:tc>
        <w:tc>
          <w:tcPr>
            <w:tcW w:type="dxa" w:w="6520"/>
            <w:tcBorders>
              <w:top w:val="nil"/>
              <w:left w:val="single" w:color="000000" w:sz="8" w:space="0" w:shadow="0" w:frame="0"/>
              <w:bottom w:val="nil"/>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4"/>
                <w:szCs w:val="24"/>
                <w:shd w:val="nil" w:color="auto" w:fill="auto"/>
                <w:rtl w:val="0"/>
                <w:lang w:val="en-US"/>
              </w:rPr>
              <w:t xml:space="preserve">Model Comparison </w:t>
            </w:r>
            <w:r>
              <w:rPr>
                <w:rFonts w:ascii="Times New Roman" w:hAnsi="Times New Roman" w:hint="default"/>
                <w:sz w:val="24"/>
                <w:szCs w:val="24"/>
                <w:shd w:val="nil" w:color="auto" w:fill="auto"/>
                <w:rtl w:val="0"/>
                <w:lang w:val="en-US"/>
              </w:rPr>
              <w:t xml:space="preserve">— </w:t>
            </w:r>
            <w:r>
              <w:rPr>
                <w:rFonts w:ascii="Times New Roman" w:hAnsi="Times New Roman"/>
                <w:sz w:val="24"/>
                <w:szCs w:val="24"/>
                <w:shd w:val="nil" w:color="auto" w:fill="auto"/>
                <w:rtl w:val="0"/>
                <w:lang w:val="en-US"/>
              </w:rPr>
              <w:t>Accuracy, AUC, F1</w:t>
            </w:r>
          </w:p>
        </w:tc>
        <w:tc>
          <w:tcPr>
            <w:tcW w:type="dxa" w:w="850"/>
            <w:tcBorders>
              <w:top w:val="nil"/>
              <w:left w:val="single" w:color="000000" w:sz="8" w:space="0" w:shadow="0" w:frame="0"/>
              <w:bottom w:val="nil"/>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4"/>
                <w:szCs w:val="24"/>
                <w:rtl w:val="0"/>
                <w:lang w:val="en-US"/>
              </w:rPr>
              <w:t>29</w:t>
            </w:r>
          </w:p>
        </w:tc>
      </w:tr>
      <w:tr>
        <w:tblPrEx>
          <w:shd w:val="clear" w:color="auto" w:fill="ced7e7"/>
        </w:tblPrEx>
        <w:trPr>
          <w:trHeight w:val="310" w:hRule="atLeast"/>
        </w:trPr>
        <w:tc>
          <w:tcPr>
            <w:tcW w:type="dxa" w:w="1134"/>
            <w:tcBorders>
              <w:top w:val="nil"/>
              <w:left w:val="single" w:color="000000" w:sz="6" w:space="0" w:shadow="0" w:frame="0"/>
              <w:bottom w:val="nil"/>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4"/>
                <w:szCs w:val="24"/>
                <w:shd w:val="nil" w:color="auto" w:fill="auto"/>
                <w:rtl w:val="0"/>
                <w:lang w:val="en-US"/>
              </w:rPr>
              <w:t>6.2</w:t>
            </w:r>
          </w:p>
        </w:tc>
        <w:tc>
          <w:tcPr>
            <w:tcW w:type="dxa" w:w="6520"/>
            <w:tcBorders>
              <w:top w:val="nil"/>
              <w:left w:val="single" w:color="000000" w:sz="8" w:space="0" w:shadow="0" w:frame="0"/>
              <w:bottom w:val="nil"/>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4"/>
                <w:szCs w:val="24"/>
                <w:shd w:val="nil" w:color="auto" w:fill="auto"/>
                <w:rtl w:val="0"/>
                <w:lang w:val="en-US"/>
              </w:rPr>
              <w:t xml:space="preserve">Epilepsy Gene Panel </w:t>
            </w:r>
            <w:r>
              <w:rPr>
                <w:rFonts w:ascii="Times New Roman" w:hAnsi="Times New Roman" w:hint="default"/>
                <w:sz w:val="24"/>
                <w:szCs w:val="24"/>
                <w:shd w:val="nil" w:color="auto" w:fill="auto"/>
                <w:rtl w:val="0"/>
                <w:lang w:val="en-US"/>
              </w:rPr>
              <w:t xml:space="preserve">— </w:t>
            </w:r>
            <w:r>
              <w:rPr>
                <w:rFonts w:ascii="Times New Roman" w:hAnsi="Times New Roman"/>
                <w:sz w:val="24"/>
                <w:szCs w:val="24"/>
                <w:shd w:val="nil" w:color="auto" w:fill="auto"/>
                <w:rtl w:val="0"/>
                <w:lang w:val="en-US"/>
              </w:rPr>
              <w:t>Disease Mechanism</w:t>
            </w:r>
          </w:p>
        </w:tc>
        <w:tc>
          <w:tcPr>
            <w:tcW w:type="dxa" w:w="850"/>
            <w:tcBorders>
              <w:top w:val="nil"/>
              <w:left w:val="single" w:color="000000" w:sz="8" w:space="0" w:shadow="0" w:frame="0"/>
              <w:bottom w:val="nil"/>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4"/>
                <w:szCs w:val="24"/>
                <w:rtl w:val="0"/>
                <w:lang w:val="en-US"/>
              </w:rPr>
              <w:t>32-33</w:t>
            </w:r>
          </w:p>
        </w:tc>
      </w:tr>
      <w:tr>
        <w:tblPrEx>
          <w:shd w:val="clear" w:color="auto" w:fill="ced7e7"/>
        </w:tblPrEx>
        <w:trPr>
          <w:trHeight w:val="310" w:hRule="atLeast"/>
        </w:trPr>
        <w:tc>
          <w:tcPr>
            <w:tcW w:type="dxa" w:w="1134"/>
            <w:tcBorders>
              <w:top w:val="nil"/>
              <w:left w:val="single" w:color="000000" w:sz="6" w:space="0" w:shadow="0" w:frame="0"/>
              <w:bottom w:val="nil"/>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4"/>
                <w:szCs w:val="24"/>
                <w:shd w:val="nil" w:color="auto" w:fill="auto"/>
                <w:rtl w:val="0"/>
                <w:lang w:val="en-US"/>
              </w:rPr>
              <w:t>7.1</w:t>
            </w:r>
          </w:p>
        </w:tc>
        <w:tc>
          <w:tcPr>
            <w:tcW w:type="dxa" w:w="6520"/>
            <w:tcBorders>
              <w:top w:val="nil"/>
              <w:left w:val="single" w:color="000000" w:sz="8" w:space="0" w:shadow="0" w:frame="0"/>
              <w:bottom w:val="nil"/>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4"/>
                <w:szCs w:val="24"/>
                <w:shd w:val="nil" w:color="auto" w:fill="auto"/>
                <w:rtl w:val="0"/>
                <w:lang w:val="en-US"/>
              </w:rPr>
              <w:t>Test Fixtures Used Across All Suites</w:t>
            </w:r>
          </w:p>
        </w:tc>
        <w:tc>
          <w:tcPr>
            <w:tcW w:type="dxa" w:w="850"/>
            <w:tcBorders>
              <w:top w:val="nil"/>
              <w:left w:val="single" w:color="000000" w:sz="8" w:space="0" w:shadow="0" w:frame="0"/>
              <w:bottom w:val="nil"/>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4"/>
                <w:szCs w:val="24"/>
                <w:rtl w:val="0"/>
                <w:lang w:val="en-US"/>
              </w:rPr>
              <w:t>38</w:t>
            </w:r>
          </w:p>
        </w:tc>
      </w:tr>
      <w:tr>
        <w:tblPrEx>
          <w:shd w:val="clear" w:color="auto" w:fill="ced7e7"/>
        </w:tblPrEx>
        <w:trPr>
          <w:trHeight w:val="310" w:hRule="atLeast"/>
        </w:trPr>
        <w:tc>
          <w:tcPr>
            <w:tcW w:type="dxa" w:w="1134"/>
            <w:tcBorders>
              <w:top w:val="nil"/>
              <w:left w:val="single" w:color="000000" w:sz="6" w:space="0" w:shadow="0" w:frame="0"/>
              <w:bottom w:val="nil"/>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4"/>
                <w:szCs w:val="24"/>
                <w:shd w:val="nil" w:color="auto" w:fill="auto"/>
                <w:rtl w:val="0"/>
                <w:lang w:val="en-US"/>
              </w:rPr>
              <w:t>7.2</w:t>
            </w:r>
          </w:p>
        </w:tc>
        <w:tc>
          <w:tcPr>
            <w:tcW w:type="dxa" w:w="6520"/>
            <w:tcBorders>
              <w:top w:val="nil"/>
              <w:left w:val="single" w:color="000000" w:sz="8" w:space="0" w:shadow="0" w:frame="0"/>
              <w:bottom w:val="nil"/>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4"/>
                <w:szCs w:val="24"/>
                <w:shd w:val="nil" w:color="auto" w:fill="auto"/>
                <w:rtl w:val="0"/>
                <w:lang w:val="en-US"/>
              </w:rPr>
              <w:t>Performance SLA Compliance</w:t>
            </w:r>
          </w:p>
        </w:tc>
        <w:tc>
          <w:tcPr>
            <w:tcW w:type="dxa" w:w="850"/>
            <w:tcBorders>
              <w:top w:val="nil"/>
              <w:left w:val="single" w:color="000000" w:sz="8" w:space="0" w:shadow="0" w:frame="0"/>
              <w:bottom w:val="nil"/>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4"/>
                <w:szCs w:val="24"/>
                <w:rtl w:val="0"/>
                <w:lang w:val="en-US"/>
              </w:rPr>
              <w:t>40</w:t>
            </w:r>
          </w:p>
        </w:tc>
      </w:tr>
      <w:tr>
        <w:tblPrEx>
          <w:shd w:val="clear" w:color="auto" w:fill="ced7e7"/>
        </w:tblPrEx>
        <w:trPr>
          <w:trHeight w:val="310" w:hRule="atLeast"/>
        </w:trPr>
        <w:tc>
          <w:tcPr>
            <w:tcW w:type="dxa" w:w="1134"/>
            <w:tcBorders>
              <w:top w:val="nil"/>
              <w:left w:val="single" w:color="000000" w:sz="6" w:space="0" w:shadow="0" w:frame="0"/>
              <w:bottom w:val="nil"/>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4"/>
                <w:szCs w:val="24"/>
                <w:shd w:val="nil" w:color="auto" w:fill="auto"/>
                <w:rtl w:val="0"/>
                <w:lang w:val="en-US"/>
              </w:rPr>
              <w:t>7.3</w:t>
            </w:r>
          </w:p>
        </w:tc>
        <w:tc>
          <w:tcPr>
            <w:tcW w:type="dxa" w:w="6520"/>
            <w:tcBorders>
              <w:top w:val="nil"/>
              <w:left w:val="single" w:color="000000" w:sz="8" w:space="0" w:shadow="0" w:frame="0"/>
              <w:bottom w:val="nil"/>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4"/>
                <w:szCs w:val="24"/>
                <w:shd w:val="nil" w:color="auto" w:fill="auto"/>
                <w:rtl w:val="0"/>
                <w:lang w:val="en-US"/>
              </w:rPr>
              <w:t>Overall Test Results Summary</w:t>
            </w:r>
          </w:p>
        </w:tc>
        <w:tc>
          <w:tcPr>
            <w:tcW w:type="dxa" w:w="850"/>
            <w:tcBorders>
              <w:top w:val="nil"/>
              <w:left w:val="single" w:color="000000" w:sz="8" w:space="0" w:shadow="0" w:frame="0"/>
              <w:bottom w:val="nil"/>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4"/>
                <w:szCs w:val="24"/>
                <w:rtl w:val="0"/>
                <w:lang w:val="en-US"/>
              </w:rPr>
              <w:t>40</w:t>
            </w:r>
          </w:p>
        </w:tc>
      </w:tr>
      <w:tr>
        <w:tblPrEx>
          <w:shd w:val="clear" w:color="auto" w:fill="ced7e7"/>
        </w:tblPrEx>
        <w:trPr>
          <w:trHeight w:val="310" w:hRule="atLeast"/>
        </w:trPr>
        <w:tc>
          <w:tcPr>
            <w:tcW w:type="dxa" w:w="1134"/>
            <w:tcBorders>
              <w:top w:val="nil"/>
              <w:left w:val="single" w:color="000000" w:sz="6" w:space="0" w:shadow="0" w:frame="0"/>
              <w:bottom w:val="nil"/>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4"/>
                <w:szCs w:val="24"/>
                <w:shd w:val="nil" w:color="auto" w:fill="auto"/>
                <w:rtl w:val="0"/>
                <w:lang w:val="en-US"/>
              </w:rPr>
              <w:t>A.1</w:t>
            </w:r>
          </w:p>
        </w:tc>
        <w:tc>
          <w:tcPr>
            <w:tcW w:type="dxa" w:w="6520"/>
            <w:tcBorders>
              <w:top w:val="nil"/>
              <w:left w:val="single" w:color="000000" w:sz="8" w:space="0" w:shadow="0" w:frame="0"/>
              <w:bottom w:val="nil"/>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4"/>
                <w:szCs w:val="24"/>
                <w:shd w:val="nil" w:color="auto" w:fill="auto"/>
                <w:rtl w:val="0"/>
                <w:lang w:val="en-US"/>
              </w:rPr>
              <w:t>Project Team Details</w:t>
            </w:r>
          </w:p>
        </w:tc>
        <w:tc>
          <w:tcPr>
            <w:tcW w:type="dxa" w:w="850"/>
            <w:tcBorders>
              <w:top w:val="nil"/>
              <w:left w:val="single" w:color="000000" w:sz="8" w:space="0" w:shadow="0" w:frame="0"/>
              <w:bottom w:val="nil"/>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4"/>
                <w:szCs w:val="24"/>
                <w:rtl w:val="0"/>
                <w:lang w:val="en-US"/>
              </w:rPr>
              <w:t>43</w:t>
            </w:r>
          </w:p>
        </w:tc>
      </w:tr>
      <w:tr>
        <w:tblPrEx>
          <w:shd w:val="clear" w:color="auto" w:fill="ced7e7"/>
        </w:tblPrEx>
        <w:trPr>
          <w:trHeight w:val="310" w:hRule="atLeast"/>
        </w:trPr>
        <w:tc>
          <w:tcPr>
            <w:tcW w:type="dxa" w:w="1134"/>
            <w:tcBorders>
              <w:top w:val="nil"/>
              <w:left w:val="single" w:color="000000" w:sz="6"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4"/>
                <w:szCs w:val="24"/>
                <w:shd w:val="nil" w:color="auto" w:fill="auto"/>
                <w:rtl w:val="0"/>
                <w:lang w:val="en-US"/>
              </w:rPr>
              <w:t>B.1</w:t>
            </w:r>
          </w:p>
        </w:tc>
        <w:tc>
          <w:tcPr>
            <w:tcW w:type="dxa" w:w="6520"/>
            <w:tcBorders>
              <w:top w:val="nil"/>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4"/>
                <w:szCs w:val="24"/>
                <w:shd w:val="nil" w:color="auto" w:fill="auto"/>
                <w:rtl w:val="0"/>
                <w:lang w:val="en-US"/>
              </w:rPr>
              <w:t>Mapping of CO, PO and PSO</w:t>
            </w:r>
          </w:p>
        </w:tc>
        <w:tc>
          <w:tcPr>
            <w:tcW w:type="dxa" w:w="850"/>
            <w:tcBorders>
              <w:top w:val="nil"/>
              <w:left w:val="single" w:color="000000" w:sz="8" w:space="0" w:shadow="0" w:frame="0"/>
              <w:bottom w:val="single" w:color="000000" w:sz="8"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sz w:val="24"/>
                <w:szCs w:val="24"/>
                <w:rtl w:val="0"/>
                <w:lang w:val="en-US"/>
              </w:rPr>
              <w:t>46</w:t>
            </w:r>
          </w:p>
        </w:tc>
      </w:tr>
    </w:tbl>
    <w:p>
      <w:pPr>
        <w:pStyle w:val="Body"/>
        <w:widowControl w:val="0"/>
        <w:spacing w:before="360" w:after="280" w:line="240" w:lineRule="auto"/>
        <w:jc w:val="center"/>
      </w:pPr>
    </w:p>
    <w:p>
      <w:pPr>
        <w:pStyle w:val="Body"/>
        <w:spacing w:after="0"/>
        <w:sectPr>
          <w:headerReference w:type="default" r:id="rId6"/>
          <w:footerReference w:type="default" r:id="rId7"/>
          <w:pgSz w:w="11900" w:h="16840" w:orient="portrait"/>
          <w:pgMar w:top="1418" w:right="1418" w:bottom="1418" w:left="1701" w:header="567" w:footer="567"/>
          <w:pgNumType w:start="1"/>
          <w:bidi w:val="0"/>
        </w:sectPr>
      </w:pPr>
    </w:p>
    <w:p>
      <w:pPr>
        <w:pStyle w:val="Body"/>
        <w:spacing w:before="360" w:after="0"/>
        <w:jc w:val="right"/>
      </w:pPr>
      <w:r>
        <w:rPr>
          <w:rFonts w:ascii="Times New Roman" w:hAnsi="Times New Roman"/>
          <w:b w:val="1"/>
          <w:bCs w:val="1"/>
          <w:i w:val="1"/>
          <w:iCs w:val="1"/>
          <w:sz w:val="28"/>
          <w:szCs w:val="28"/>
          <w:rtl w:val="0"/>
          <w:lang w:val="nl-NL"/>
        </w:rPr>
        <w:t>Chapter 1</w:t>
      </w:r>
    </w:p>
    <w:p>
      <w:pPr>
        <w:pStyle w:val="Body"/>
        <w:pBdr>
          <w:top w:val="nil"/>
          <w:left w:val="nil"/>
          <w:bottom w:val="single" w:color="aaaaaa" w:sz="6" w:space="0" w:shadow="0" w:frame="0"/>
          <w:right w:val="nil"/>
        </w:pBdr>
        <w:spacing w:before="40" w:after="280"/>
        <w:jc w:val="right"/>
      </w:pPr>
      <w:r>
        <w:rPr>
          <w:rFonts w:ascii="Times New Roman" w:hAnsi="Times New Roman"/>
          <w:b w:val="1"/>
          <w:bCs w:val="1"/>
          <w:sz w:val="28"/>
          <w:szCs w:val="28"/>
          <w:rtl w:val="0"/>
          <w:lang w:val="en-US"/>
        </w:rPr>
        <w:t>INTRODUCTION</w:t>
      </w:r>
    </w:p>
    <w:p>
      <w:pPr>
        <w:pStyle w:val="Body"/>
        <w:spacing w:before="240" w:after="120"/>
      </w:pPr>
      <w:r>
        <w:rPr>
          <w:rFonts w:ascii="Times New Roman" w:hAnsi="Times New Roman"/>
          <w:b w:val="1"/>
          <w:bCs w:val="1"/>
          <w:sz w:val="24"/>
          <w:szCs w:val="24"/>
          <w:rtl w:val="0"/>
          <w:lang w:val="en-US"/>
        </w:rPr>
        <w:t>1.1 Overview of the Chapter</w:t>
      </w:r>
    </w:p>
    <w:p>
      <w:pPr>
        <w:pStyle w:val="Body"/>
        <w:spacing w:after="120" w:line="360" w:lineRule="auto"/>
        <w:jc w:val="both"/>
      </w:pPr>
      <w:r>
        <w:rPr>
          <w:rFonts w:ascii="Times New Roman" w:hAnsi="Times New Roman"/>
          <w:sz w:val="24"/>
          <w:szCs w:val="24"/>
          <w:rtl w:val="0"/>
          <w:lang w:val="en-US"/>
        </w:rPr>
        <w:t>Epilepsy is a chronic neurological disorder characterised by recurrent, unprovoked seizures resulting from abnormal electrical activity in the brain. It is one of the most common serious neurological conditions globally, affecting more than 50 million people across all ages and geographies. In approximately 30</w:t>
      </w:r>
      <w:r>
        <w:rPr>
          <w:rFonts w:ascii="Times New Roman" w:hAnsi="Times New Roman" w:hint="default"/>
          <w:sz w:val="24"/>
          <w:szCs w:val="24"/>
          <w:rtl w:val="0"/>
          <w:lang w:val="en-US"/>
        </w:rPr>
        <w:t>–</w:t>
      </w:r>
      <w:r>
        <w:rPr>
          <w:rFonts w:ascii="Times New Roman" w:hAnsi="Times New Roman"/>
          <w:sz w:val="24"/>
          <w:szCs w:val="24"/>
          <w:rtl w:val="0"/>
          <w:lang w:val="en-US"/>
        </w:rPr>
        <w:t>40% of epilepsy cases, the condition has a genetic aetiology, with pathogenic variants in ion channel genes, synaptic transmission genes, and mTOR pathway regulators playing a central role.</w:t>
      </w:r>
    </w:p>
    <w:p>
      <w:pPr>
        <w:pStyle w:val="Body"/>
        <w:spacing w:after="120" w:line="360" w:lineRule="auto"/>
        <w:jc w:val="both"/>
      </w:pPr>
      <w:r>
        <w:rPr>
          <w:rFonts w:ascii="Times New Roman" w:hAnsi="Times New Roman"/>
          <w:sz w:val="24"/>
          <w:szCs w:val="24"/>
          <w:rtl w:val="0"/>
          <w:lang w:val="en-US"/>
        </w:rPr>
        <w:t>The identification and accurate classification of genetic variants is a critical step in the diagnostic workup of patients with suspected genetic epilepsy. The American College of Medical Genetics and Genomics (ACMG) and the Association for Molecular Pathology (AMP) published standardised guidelines in 2015 for the interpretation of sequence variants, using a five-tier classification system: Pathogenic, Likely Pathogenic, Variant of Uncertain Significance (VUS), Likely Benign, and Benign. These guidelines were later extended by Tavtigian et al. (2018) using a Bayesian points-based scoring framework to provide unambiguous numerical thresholds.</w:t>
      </w:r>
    </w:p>
    <w:p>
      <w:pPr>
        <w:pStyle w:val="Body"/>
        <w:spacing w:after="120" w:line="360" w:lineRule="auto"/>
        <w:jc w:val="both"/>
      </w:pPr>
      <w:r>
        <w:rPr>
          <w:rFonts w:ascii="Times New Roman" w:hAnsi="Times New Roman"/>
          <w:sz w:val="24"/>
          <w:szCs w:val="24"/>
          <w:rtl w:val="0"/>
          <w:lang w:val="en-US"/>
        </w:rPr>
        <w:t>Despite the availability of these guidelines, the manual application of ACMG/AMP criteria is a labour-intensive process that requires integration of data from multiple databases (ClinVar, gnomAD, PubMed), domain knowledge of gene-disease mechanisms, and experienced clinical judgement. In practice, this leads to inconsistency across laboratories and significant delays in variant classification, impacting patient care.</w:t>
      </w:r>
    </w:p>
    <w:p>
      <w:pPr>
        <w:pStyle w:val="Body"/>
        <w:spacing w:after="120" w:line="36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This chapter introduces the Epilepsy Variant Diagnostic Assistant, an AI-powered clinical decision support system that automates variant pathogenicity prediction and ACMG/AMP classification for a panel of 27 epilepsy-associated genes. The system integrates a calibrated XGBoost classifier, an automated ACMG/AMP engine, SHAP-based explainability, and a multi-source Retrieval-Augmented Generation (RAG) pipeline to produce interpretable, evidence-backed clinical reports.</w:t>
      </w:r>
    </w:p>
    <w:p>
      <w:pPr>
        <w:pStyle w:val="Body"/>
        <w:spacing w:after="120" w:line="360" w:lineRule="auto"/>
        <w:jc w:val="both"/>
      </w:pPr>
    </w:p>
    <w:p>
      <w:pPr>
        <w:pStyle w:val="Body"/>
        <w:spacing w:before="240" w:after="120"/>
      </w:pPr>
      <w:r>
        <w:rPr>
          <w:rFonts w:ascii="Times New Roman" w:hAnsi="Times New Roman"/>
          <w:b w:val="1"/>
          <w:bCs w:val="1"/>
          <w:sz w:val="24"/>
          <w:szCs w:val="24"/>
          <w:rtl w:val="0"/>
          <w:lang w:val="de-DE"/>
        </w:rPr>
        <w:t>1.2 Problem Statement</w:t>
      </w:r>
    </w:p>
    <w:p>
      <w:pPr>
        <w:pStyle w:val="Body"/>
        <w:spacing w:after="120" w:line="360" w:lineRule="auto"/>
        <w:jc w:val="both"/>
      </w:pPr>
      <w:r>
        <w:rPr>
          <w:rFonts w:ascii="Times New Roman" w:hAnsi="Times New Roman"/>
          <w:sz w:val="24"/>
          <w:szCs w:val="24"/>
          <w:rtl w:val="0"/>
          <w:lang w:val="en-US"/>
        </w:rPr>
        <w:t>The classification of genetic variants found in patients with epilepsy presents several significant challenges in clinical genetics practice:</w:t>
      </w:r>
    </w:p>
    <w:p>
      <w:pPr>
        <w:pStyle w:val="Body"/>
        <w:spacing w:after="80"/>
        <w:ind w:left="576" w:hanging="288"/>
      </w:pPr>
      <w:r>
        <w:rPr>
          <w:rFonts w:ascii="Times New Roman" w:hAnsi="Times New Roman" w:hint="default"/>
          <w:sz w:val="24"/>
          <w:szCs w:val="24"/>
          <w:rtl w:val="0"/>
          <w:lang w:val="en-US"/>
        </w:rPr>
        <w:t xml:space="preserve">•  </w:t>
      </w:r>
      <w:r>
        <w:rPr>
          <w:rFonts w:ascii="Times New Roman" w:hAnsi="Times New Roman"/>
          <w:sz w:val="24"/>
          <w:szCs w:val="24"/>
          <w:rtl w:val="0"/>
          <w:lang w:val="en-US"/>
        </w:rPr>
        <w:t>Volume and velocity: Next-generation sequencing panels generate hundreds of candidate variants per patient, each requiring individual review against the ACMG/AMP framework.</w:t>
      </w:r>
    </w:p>
    <w:p>
      <w:pPr>
        <w:pStyle w:val="Body"/>
        <w:spacing w:after="80"/>
        <w:ind w:left="576" w:hanging="288"/>
      </w:pPr>
      <w:r>
        <w:rPr>
          <w:rFonts w:ascii="Times New Roman" w:hAnsi="Times New Roman" w:hint="default"/>
          <w:sz w:val="24"/>
          <w:szCs w:val="24"/>
          <w:rtl w:val="0"/>
          <w:lang w:val="en-US"/>
        </w:rPr>
        <w:t xml:space="preserve">•  </w:t>
      </w:r>
      <w:r>
        <w:rPr>
          <w:rFonts w:ascii="Times New Roman" w:hAnsi="Times New Roman"/>
          <w:sz w:val="24"/>
          <w:szCs w:val="24"/>
          <w:rtl w:val="0"/>
          <w:lang w:val="en-US"/>
        </w:rPr>
        <w:t>Manual inconsistency: Studies have shown inter-laboratory discordance rates of 10</w:t>
      </w:r>
      <w:r>
        <w:rPr>
          <w:rFonts w:ascii="Times New Roman" w:hAnsi="Times New Roman" w:hint="default"/>
          <w:sz w:val="24"/>
          <w:szCs w:val="24"/>
          <w:rtl w:val="0"/>
          <w:lang w:val="en-US"/>
        </w:rPr>
        <w:t>–</w:t>
      </w:r>
      <w:r>
        <w:rPr>
          <w:rFonts w:ascii="Times New Roman" w:hAnsi="Times New Roman"/>
          <w:sz w:val="24"/>
          <w:szCs w:val="24"/>
          <w:rtl w:val="0"/>
          <w:lang w:val="en-US"/>
        </w:rPr>
        <w:t>20% for variant classification, particularly for Variants of Uncertain Significance (VUS).</w:t>
      </w:r>
    </w:p>
    <w:p>
      <w:pPr>
        <w:pStyle w:val="Body"/>
        <w:spacing w:after="80"/>
        <w:ind w:left="576" w:hanging="288"/>
      </w:pPr>
      <w:r>
        <w:rPr>
          <w:rFonts w:ascii="Times New Roman" w:hAnsi="Times New Roman" w:hint="default"/>
          <w:sz w:val="24"/>
          <w:szCs w:val="24"/>
          <w:rtl w:val="0"/>
          <w:lang w:val="en-US"/>
        </w:rPr>
        <w:t xml:space="preserve">•  </w:t>
      </w:r>
      <w:r>
        <w:rPr>
          <w:rFonts w:ascii="Times New Roman" w:hAnsi="Times New Roman"/>
          <w:sz w:val="24"/>
          <w:szCs w:val="24"/>
          <w:rtl w:val="0"/>
          <w:lang w:val="en-US"/>
        </w:rPr>
        <w:t xml:space="preserve">Multi-database integration: Accurate classification requires simultaneous lookup across ClinVar, gnomAD, PubMed literature, and gene-specific databases </w:t>
      </w:r>
      <w:r>
        <w:rPr>
          <w:rFonts w:ascii="Times New Roman" w:hAnsi="Times New Roman" w:hint="default"/>
          <w:sz w:val="24"/>
          <w:szCs w:val="24"/>
          <w:rtl w:val="0"/>
          <w:lang w:val="en-US"/>
        </w:rPr>
        <w:t xml:space="preserve">— </w:t>
      </w:r>
      <w:r>
        <w:rPr>
          <w:rFonts w:ascii="Times New Roman" w:hAnsi="Times New Roman"/>
          <w:sz w:val="24"/>
          <w:szCs w:val="24"/>
          <w:rtl w:val="0"/>
          <w:lang w:val="en-US"/>
        </w:rPr>
        <w:t>a process that is time-consuming and error-prone when performed manually.</w:t>
      </w:r>
    </w:p>
    <w:p>
      <w:pPr>
        <w:pStyle w:val="Body"/>
        <w:spacing w:after="80"/>
        <w:ind w:left="576" w:hanging="288"/>
      </w:pPr>
      <w:r>
        <w:rPr>
          <w:rFonts w:ascii="Times New Roman" w:hAnsi="Times New Roman" w:hint="default"/>
          <w:sz w:val="24"/>
          <w:szCs w:val="24"/>
          <w:rtl w:val="0"/>
          <w:lang w:val="en-US"/>
        </w:rPr>
        <w:t xml:space="preserve">•  </w:t>
      </w:r>
      <w:r>
        <w:rPr>
          <w:rFonts w:ascii="Times New Roman" w:hAnsi="Times New Roman"/>
          <w:sz w:val="24"/>
          <w:szCs w:val="24"/>
          <w:rtl w:val="0"/>
          <w:lang w:val="en-US"/>
        </w:rPr>
        <w:t>Lack of explainability: Existing computational tools (CADD, REVEL, PolyPhen-2) produce scores without mapping their predictions directly to ACMG/AMP criteria, limiting clinical utility.</w:t>
      </w:r>
    </w:p>
    <w:p>
      <w:pPr>
        <w:pStyle w:val="Body"/>
        <w:spacing w:after="80"/>
        <w:ind w:left="576" w:hanging="288"/>
      </w:pPr>
      <w:r>
        <w:rPr>
          <w:rFonts w:ascii="Times New Roman" w:hAnsi="Times New Roman" w:hint="default"/>
          <w:sz w:val="24"/>
          <w:szCs w:val="24"/>
          <w:rtl w:val="0"/>
          <w:lang w:val="en-US"/>
        </w:rPr>
        <w:t xml:space="preserve">•  </w:t>
      </w:r>
      <w:r>
        <w:rPr>
          <w:rFonts w:ascii="Times New Roman" w:hAnsi="Times New Roman"/>
          <w:sz w:val="24"/>
          <w:szCs w:val="24"/>
          <w:rtl w:val="0"/>
          <w:lang w:val="en-US"/>
        </w:rPr>
        <w:t xml:space="preserve">Gene-specific knowledge gaps: Different epilepsy genes have distinct disease mechanisms (loss-of-function vs. gain-of-function), which critically affect which ACMG criteria are applicable </w:t>
      </w:r>
      <w:r>
        <w:rPr>
          <w:rFonts w:ascii="Times New Roman" w:hAnsi="Times New Roman" w:hint="default"/>
          <w:sz w:val="24"/>
          <w:szCs w:val="24"/>
          <w:rtl w:val="0"/>
          <w:lang w:val="en-US"/>
        </w:rPr>
        <w:t xml:space="preserve">— </w:t>
      </w:r>
      <w:r>
        <w:rPr>
          <w:rFonts w:ascii="Times New Roman" w:hAnsi="Times New Roman"/>
          <w:sz w:val="24"/>
          <w:szCs w:val="24"/>
          <w:rtl w:val="0"/>
          <w:lang w:val="en-US"/>
        </w:rPr>
        <w:t>knowledge that is not captured in generic variant classifiers.</w:t>
      </w:r>
    </w:p>
    <w:p>
      <w:pPr>
        <w:pStyle w:val="Body"/>
        <w:spacing w:after="120" w:line="360" w:lineRule="auto"/>
        <w:jc w:val="both"/>
      </w:pPr>
      <w:r>
        <w:rPr>
          <w:rFonts w:ascii="Times New Roman" w:hAnsi="Times New Roman"/>
          <w:sz w:val="24"/>
          <w:szCs w:val="24"/>
          <w:rtl w:val="0"/>
          <w:lang w:val="en-US"/>
        </w:rPr>
        <w:t>These challenges collectively slow down the diagnostic process, increase the proportion of unresolved VUS cases, and potentially delay life-altering treatment decisions for patients and families. There is a clear clinical need for an automated, explainable, multi-evidence system specifically designed for epilepsy variant classification.</w:t>
      </w:r>
    </w:p>
    <w:p>
      <w:pPr>
        <w:pStyle w:val="Body"/>
        <w:spacing w:before="240" w:after="120"/>
      </w:pPr>
      <w:r>
        <w:rPr>
          <w:rFonts w:ascii="Times New Roman" w:hAnsi="Times New Roman"/>
          <w:b w:val="1"/>
          <w:bCs w:val="1"/>
          <w:sz w:val="24"/>
          <w:szCs w:val="24"/>
          <w:rtl w:val="0"/>
        </w:rPr>
        <w:t>1.3 Aim</w:t>
      </w:r>
    </w:p>
    <w:p>
      <w:pPr>
        <w:pStyle w:val="Body"/>
        <w:spacing w:after="120" w:line="36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The aim of this project is to design, develop, and validate an AI-powered Epilepsy Variant Diagnostic Assistant that automates the classification of genetic variants in epilepsy-associated genes according to ACMG/AMP guidelines, integrates multi-source evidence retrieval, and produces interpretable clinical reports suitable for use by clinical geneticists and neurologists.</w:t>
      </w:r>
    </w:p>
    <w:p>
      <w:pPr>
        <w:pStyle w:val="Body"/>
        <w:spacing w:after="120" w:line="360" w:lineRule="auto"/>
        <w:jc w:val="both"/>
        <w:rPr>
          <w:rFonts w:ascii="Times New Roman" w:cs="Times New Roman" w:hAnsi="Times New Roman" w:eastAsia="Times New Roman"/>
          <w:sz w:val="24"/>
          <w:szCs w:val="24"/>
        </w:rPr>
      </w:pPr>
    </w:p>
    <w:p>
      <w:pPr>
        <w:pStyle w:val="Body"/>
        <w:spacing w:after="120" w:line="360" w:lineRule="auto"/>
        <w:jc w:val="both"/>
        <w:rPr>
          <w:rFonts w:ascii="Times New Roman" w:cs="Times New Roman" w:hAnsi="Times New Roman" w:eastAsia="Times New Roman"/>
          <w:sz w:val="24"/>
          <w:szCs w:val="24"/>
        </w:rPr>
      </w:pPr>
    </w:p>
    <w:p>
      <w:pPr>
        <w:pStyle w:val="Body"/>
        <w:spacing w:after="120" w:line="360" w:lineRule="auto"/>
        <w:jc w:val="both"/>
      </w:pPr>
    </w:p>
    <w:p>
      <w:pPr>
        <w:pStyle w:val="Body"/>
        <w:spacing w:before="240" w:after="120"/>
      </w:pPr>
      <w:r>
        <w:rPr>
          <w:rFonts w:ascii="Times New Roman" w:hAnsi="Times New Roman"/>
          <w:b w:val="1"/>
          <w:bCs w:val="1"/>
          <w:sz w:val="24"/>
          <w:szCs w:val="24"/>
          <w:rtl w:val="0"/>
          <w:lang w:val="fr-FR"/>
        </w:rPr>
        <w:t>1.4 Objectives</w:t>
      </w:r>
    </w:p>
    <w:p>
      <w:pPr>
        <w:pStyle w:val="Body"/>
        <w:spacing w:after="120" w:line="360" w:lineRule="auto"/>
        <w:jc w:val="both"/>
      </w:pPr>
      <w:r>
        <w:rPr>
          <w:rFonts w:ascii="Times New Roman" w:hAnsi="Times New Roman"/>
          <w:sz w:val="24"/>
          <w:szCs w:val="24"/>
          <w:rtl w:val="0"/>
          <w:lang w:val="en-US"/>
        </w:rPr>
        <w:t>The specific objectives of this project are:</w:t>
      </w:r>
    </w:p>
    <w:p>
      <w:pPr>
        <w:pStyle w:val="Body"/>
        <w:spacing w:after="80"/>
        <w:ind w:left="576" w:hanging="288"/>
      </w:pPr>
      <w:r>
        <w:rPr>
          <w:rFonts w:ascii="Times New Roman" w:hAnsi="Times New Roman" w:hint="default"/>
          <w:sz w:val="24"/>
          <w:szCs w:val="24"/>
          <w:rtl w:val="0"/>
          <w:lang w:val="en-US"/>
        </w:rPr>
        <w:t xml:space="preserve">•  </w:t>
      </w:r>
      <w:r>
        <w:rPr>
          <w:rFonts w:ascii="Times New Roman" w:hAnsi="Times New Roman"/>
          <w:sz w:val="24"/>
          <w:szCs w:val="24"/>
          <w:rtl w:val="0"/>
          <w:lang w:val="en-US"/>
        </w:rPr>
        <w:t>To develop a machine learning model (XGBoost with isotonic calibration) that classifies genetic variants in 27 epilepsy genes as Pathogenic or Benign with accuracy above 89%.</w:t>
      </w:r>
    </w:p>
    <w:p>
      <w:pPr>
        <w:pStyle w:val="Body"/>
        <w:spacing w:after="80"/>
        <w:ind w:left="576" w:hanging="288"/>
      </w:pPr>
      <w:r>
        <w:rPr>
          <w:rFonts w:ascii="Times New Roman" w:hAnsi="Times New Roman" w:hint="default"/>
          <w:sz w:val="24"/>
          <w:szCs w:val="24"/>
          <w:rtl w:val="0"/>
          <w:lang w:val="en-US"/>
        </w:rPr>
        <w:t xml:space="preserve">•  </w:t>
      </w:r>
      <w:r>
        <w:rPr>
          <w:rFonts w:ascii="Times New Roman" w:hAnsi="Times New Roman"/>
          <w:sz w:val="24"/>
          <w:szCs w:val="24"/>
          <w:rtl w:val="0"/>
          <w:lang w:val="en-US"/>
        </w:rPr>
        <w:t>To engineer a 93-dimensional feature vector capturing genomic, clinical, database-derived, and gene-specific features for each variant.</w:t>
      </w:r>
    </w:p>
    <w:p>
      <w:pPr>
        <w:pStyle w:val="Body"/>
        <w:spacing w:after="80"/>
        <w:ind w:left="576" w:hanging="288"/>
      </w:pPr>
      <w:r>
        <w:rPr>
          <w:rFonts w:ascii="Times New Roman" w:hAnsi="Times New Roman" w:hint="default"/>
          <w:sz w:val="24"/>
          <w:szCs w:val="24"/>
          <w:rtl w:val="0"/>
          <w:lang w:val="en-US"/>
        </w:rPr>
        <w:t xml:space="preserve">•  </w:t>
      </w:r>
      <w:r>
        <w:rPr>
          <w:rFonts w:ascii="Times New Roman" w:hAnsi="Times New Roman"/>
          <w:sz w:val="24"/>
          <w:szCs w:val="24"/>
          <w:rtl w:val="0"/>
          <w:lang w:val="en-US"/>
        </w:rPr>
        <w:t>To implement an automated ACMG/AMP classification engine applying 14 evidence criteria (PVS1, PS1</w:t>
      </w:r>
      <w:r>
        <w:rPr>
          <w:rFonts w:ascii="Times New Roman" w:hAnsi="Times New Roman" w:hint="default"/>
          <w:sz w:val="24"/>
          <w:szCs w:val="24"/>
          <w:rtl w:val="0"/>
          <w:lang w:val="en-US"/>
        </w:rPr>
        <w:t>–</w:t>
      </w:r>
      <w:r>
        <w:rPr>
          <w:rFonts w:ascii="Times New Roman" w:hAnsi="Times New Roman"/>
          <w:sz w:val="24"/>
          <w:szCs w:val="24"/>
          <w:rtl w:val="0"/>
          <w:lang w:val="fr-FR"/>
        </w:rPr>
        <w:t>PS3, PM1</w:t>
      </w:r>
      <w:r>
        <w:rPr>
          <w:rFonts w:ascii="Times New Roman" w:hAnsi="Times New Roman" w:hint="default"/>
          <w:sz w:val="24"/>
          <w:szCs w:val="24"/>
          <w:rtl w:val="0"/>
          <w:lang w:val="en-US"/>
        </w:rPr>
        <w:t>–</w:t>
      </w:r>
      <w:r>
        <w:rPr>
          <w:rFonts w:ascii="Times New Roman" w:hAnsi="Times New Roman"/>
          <w:sz w:val="24"/>
          <w:szCs w:val="24"/>
          <w:rtl w:val="0"/>
          <w:lang w:val="en-US"/>
        </w:rPr>
        <w:t>PM6, PP3, PP5, BA1, BS1</w:t>
      </w:r>
      <w:r>
        <w:rPr>
          <w:rFonts w:ascii="Times New Roman" w:hAnsi="Times New Roman" w:hint="default"/>
          <w:sz w:val="24"/>
          <w:szCs w:val="24"/>
          <w:rtl w:val="0"/>
          <w:lang w:val="en-US"/>
        </w:rPr>
        <w:t>–</w:t>
      </w:r>
      <w:r>
        <w:rPr>
          <w:rFonts w:ascii="Times New Roman" w:hAnsi="Times New Roman"/>
          <w:sz w:val="24"/>
          <w:szCs w:val="24"/>
          <w:rtl w:val="0"/>
          <w:lang w:val="pt-PT"/>
        </w:rPr>
        <w:t>BS2, BP4, BP6</w:t>
      </w:r>
      <w:r>
        <w:rPr>
          <w:rFonts w:ascii="Times New Roman" w:hAnsi="Times New Roman" w:hint="default"/>
          <w:sz w:val="24"/>
          <w:szCs w:val="24"/>
          <w:rtl w:val="0"/>
          <w:lang w:val="en-US"/>
        </w:rPr>
        <w:t>–</w:t>
      </w:r>
      <w:r>
        <w:rPr>
          <w:rFonts w:ascii="Times New Roman" w:hAnsi="Times New Roman"/>
          <w:sz w:val="24"/>
          <w:szCs w:val="24"/>
          <w:rtl w:val="0"/>
          <w:lang w:val="en-US"/>
        </w:rPr>
        <w:t>BP7) using the Tavtigian points-based scoring model.</w:t>
      </w:r>
    </w:p>
    <w:p>
      <w:pPr>
        <w:pStyle w:val="Body"/>
        <w:spacing w:after="80"/>
        <w:ind w:left="576" w:hanging="288"/>
      </w:pPr>
      <w:r>
        <w:rPr>
          <w:rFonts w:ascii="Times New Roman" w:hAnsi="Times New Roman" w:hint="default"/>
          <w:sz w:val="24"/>
          <w:szCs w:val="24"/>
          <w:rtl w:val="0"/>
          <w:lang w:val="en-US"/>
        </w:rPr>
        <w:t xml:space="preserve">•  </w:t>
      </w:r>
      <w:r>
        <w:rPr>
          <w:rFonts w:ascii="Times New Roman" w:hAnsi="Times New Roman"/>
          <w:sz w:val="24"/>
          <w:szCs w:val="24"/>
          <w:rtl w:val="0"/>
          <w:lang w:val="en-US"/>
        </w:rPr>
        <w:t>To integrate TreeSHAP for generating interpretable feature attributions and mapping them to PP3/BP4 ACMG criteria.</w:t>
      </w:r>
    </w:p>
    <w:p>
      <w:pPr>
        <w:pStyle w:val="Body"/>
        <w:spacing w:after="80"/>
        <w:ind w:left="576" w:hanging="288"/>
      </w:pPr>
      <w:r>
        <w:rPr>
          <w:rFonts w:ascii="Times New Roman" w:hAnsi="Times New Roman" w:hint="default"/>
          <w:sz w:val="24"/>
          <w:szCs w:val="24"/>
          <w:rtl w:val="0"/>
          <w:lang w:val="en-US"/>
        </w:rPr>
        <w:t xml:space="preserve">•  </w:t>
      </w:r>
      <w:r>
        <w:rPr>
          <w:rFonts w:ascii="Times New Roman" w:hAnsi="Times New Roman"/>
          <w:sz w:val="24"/>
          <w:szCs w:val="24"/>
          <w:rtl w:val="0"/>
          <w:lang w:val="en-US"/>
        </w:rPr>
        <w:t>To build a multi-source Retrieval-Augmented Generation (RAG) pipeline integrating ClinVar REST API, gnomAD GraphQL API, PubMed FAISS index, and PharmGKB.</w:t>
      </w:r>
    </w:p>
    <w:p>
      <w:pPr>
        <w:pStyle w:val="Body"/>
        <w:spacing w:after="80"/>
        <w:ind w:left="576" w:hanging="288"/>
      </w:pPr>
      <w:r>
        <w:rPr>
          <w:rFonts w:ascii="Times New Roman" w:hAnsi="Times New Roman" w:hint="default"/>
          <w:sz w:val="24"/>
          <w:szCs w:val="24"/>
          <w:rtl w:val="0"/>
          <w:lang w:val="en-US"/>
        </w:rPr>
        <w:t xml:space="preserve">•  </w:t>
      </w:r>
      <w:r>
        <w:rPr>
          <w:rFonts w:ascii="Times New Roman" w:hAnsi="Times New Roman"/>
          <w:sz w:val="24"/>
          <w:szCs w:val="24"/>
          <w:rtl w:val="0"/>
          <w:lang w:val="en-US"/>
        </w:rPr>
        <w:t>To implement a confidence-aware routing mechanism that identifies uncertain predictions and triggers additional evidence gathering.</w:t>
      </w:r>
    </w:p>
    <w:p>
      <w:pPr>
        <w:pStyle w:val="Body"/>
        <w:spacing w:after="80"/>
        <w:ind w:left="576" w:hanging="288"/>
      </w:pPr>
      <w:r>
        <w:rPr>
          <w:rFonts w:ascii="Times New Roman" w:hAnsi="Times New Roman" w:hint="default"/>
          <w:sz w:val="24"/>
          <w:szCs w:val="24"/>
          <w:rtl w:val="0"/>
          <w:lang w:val="en-US"/>
        </w:rPr>
        <w:t xml:space="preserve">•  </w:t>
      </w:r>
      <w:r>
        <w:rPr>
          <w:rFonts w:ascii="Times New Roman" w:hAnsi="Times New Roman"/>
          <w:sz w:val="24"/>
          <w:szCs w:val="24"/>
          <w:rtl w:val="0"/>
          <w:lang w:val="en-US"/>
        </w:rPr>
        <w:t>To deploy a contradiction detection module that identifies conflicts between evidence sources.</w:t>
      </w:r>
    </w:p>
    <w:p>
      <w:pPr>
        <w:pStyle w:val="Body"/>
        <w:spacing w:after="80"/>
        <w:ind w:left="576" w:hanging="288"/>
      </w:pPr>
      <w:r>
        <w:rPr>
          <w:rFonts w:ascii="Times New Roman" w:hAnsi="Times New Roman" w:hint="default"/>
          <w:sz w:val="24"/>
          <w:szCs w:val="24"/>
          <w:rtl w:val="0"/>
          <w:lang w:val="en-US"/>
        </w:rPr>
        <w:t xml:space="preserve">•  </w:t>
      </w:r>
      <w:r>
        <w:rPr>
          <w:rFonts w:ascii="Times New Roman" w:hAnsi="Times New Roman"/>
          <w:sz w:val="24"/>
          <w:szCs w:val="24"/>
          <w:rtl w:val="0"/>
          <w:lang w:val="en-US"/>
        </w:rPr>
        <w:t>To build a React-based frontend and FastAPI backend providing a clinical web interface.</w:t>
      </w:r>
    </w:p>
    <w:p>
      <w:pPr>
        <w:pStyle w:val="Body"/>
        <w:spacing w:after="80"/>
        <w:ind w:left="576" w:hanging="288"/>
      </w:pPr>
      <w:r>
        <w:rPr>
          <w:rFonts w:ascii="Times New Roman" w:hAnsi="Times New Roman" w:hint="default"/>
          <w:sz w:val="24"/>
          <w:szCs w:val="24"/>
          <w:rtl w:val="0"/>
          <w:lang w:val="en-US"/>
        </w:rPr>
        <w:t xml:space="preserve">•  </w:t>
      </w:r>
      <w:r>
        <w:rPr>
          <w:rFonts w:ascii="Times New Roman" w:hAnsi="Times New Roman"/>
          <w:sz w:val="24"/>
          <w:szCs w:val="24"/>
          <w:rtl w:val="0"/>
          <w:lang w:val="en-US"/>
        </w:rPr>
        <w:t>To validate the system through comprehensive testing across 200 test cases spanning unit, integration, regression, smoke, and performance tests.</w:t>
      </w:r>
    </w:p>
    <w:p>
      <w:pPr>
        <w:pStyle w:val="Body"/>
        <w:spacing w:before="240" w:after="120"/>
      </w:pPr>
      <w:r>
        <w:rPr>
          <w:rFonts w:ascii="Times New Roman" w:hAnsi="Times New Roman"/>
          <w:b w:val="1"/>
          <w:bCs w:val="1"/>
          <w:sz w:val="24"/>
          <w:szCs w:val="24"/>
          <w:rtl w:val="0"/>
          <w:lang w:val="en-US"/>
        </w:rPr>
        <w:t>1.5 Applications</w:t>
      </w:r>
    </w:p>
    <w:p>
      <w:pPr>
        <w:pStyle w:val="Body"/>
        <w:spacing w:after="120" w:line="360" w:lineRule="auto"/>
        <w:jc w:val="both"/>
      </w:pPr>
      <w:r>
        <w:rPr>
          <w:rFonts w:ascii="Times New Roman" w:hAnsi="Times New Roman"/>
          <w:sz w:val="24"/>
          <w:szCs w:val="24"/>
          <w:rtl w:val="0"/>
          <w:lang w:val="en-US"/>
        </w:rPr>
        <w:t>The Epilepsy Variant Diagnostic Assistant has direct applications across clinical, research, and educational domains:</w:t>
      </w:r>
    </w:p>
    <w:p>
      <w:pPr>
        <w:pStyle w:val="Body"/>
        <w:spacing w:after="80"/>
        <w:ind w:left="576" w:hanging="288"/>
      </w:pPr>
      <w:r>
        <w:rPr>
          <w:rFonts w:ascii="Times New Roman" w:hAnsi="Times New Roman" w:hint="default"/>
          <w:sz w:val="24"/>
          <w:szCs w:val="24"/>
          <w:rtl w:val="0"/>
          <w:lang w:val="en-US"/>
        </w:rPr>
        <w:t xml:space="preserve">•  </w:t>
      </w:r>
      <w:r>
        <w:rPr>
          <w:rFonts w:ascii="Times New Roman" w:hAnsi="Times New Roman"/>
          <w:sz w:val="24"/>
          <w:szCs w:val="24"/>
          <w:rtl w:val="0"/>
          <w:lang w:val="en-US"/>
        </w:rPr>
        <w:t>Clinical Genetics Laboratories: Automates the initial classification of variants identified in epilepsy gene panel sequencing, reducing manual workload and improving throughput.</w:t>
      </w:r>
    </w:p>
    <w:p>
      <w:pPr>
        <w:pStyle w:val="Body"/>
        <w:spacing w:after="80"/>
        <w:ind w:left="576" w:hanging="288"/>
      </w:pPr>
      <w:r>
        <w:rPr>
          <w:rFonts w:ascii="Times New Roman" w:hAnsi="Times New Roman" w:hint="default"/>
          <w:sz w:val="24"/>
          <w:szCs w:val="24"/>
          <w:rtl w:val="0"/>
          <w:lang w:val="en-US"/>
        </w:rPr>
        <w:t xml:space="preserve">•  </w:t>
      </w:r>
      <w:r>
        <w:rPr>
          <w:rFonts w:ascii="Times New Roman" w:hAnsi="Times New Roman"/>
          <w:sz w:val="24"/>
          <w:szCs w:val="24"/>
          <w:rtl w:val="0"/>
          <w:lang w:val="en-US"/>
        </w:rPr>
        <w:t>Neurogenomics Clinics: Provides real-time decision support to clinical geneticists reviewing variants from whole-exome or whole-genome sequencing in epilepsy patients.</w:t>
      </w:r>
    </w:p>
    <w:p>
      <w:pPr>
        <w:pStyle w:val="Body"/>
        <w:spacing w:after="80"/>
        <w:ind w:left="576" w:hanging="288"/>
      </w:pPr>
      <w:r>
        <w:rPr>
          <w:rFonts w:ascii="Times New Roman" w:hAnsi="Times New Roman" w:hint="default"/>
          <w:sz w:val="24"/>
          <w:szCs w:val="24"/>
          <w:rtl w:val="0"/>
          <w:lang w:val="en-US"/>
        </w:rPr>
        <w:t xml:space="preserve">•  </w:t>
      </w:r>
      <w:r>
        <w:rPr>
          <w:rFonts w:ascii="Times New Roman" w:hAnsi="Times New Roman"/>
          <w:sz w:val="24"/>
          <w:szCs w:val="24"/>
          <w:rtl w:val="0"/>
          <w:lang w:val="en-US"/>
        </w:rPr>
        <w:t>Genetic Counseling: Enables genetic counselors to quickly assess variant pathogenicity and generate patient-friendly summaries for communication with families.</w:t>
      </w:r>
    </w:p>
    <w:p>
      <w:pPr>
        <w:pStyle w:val="Body"/>
        <w:spacing w:after="80"/>
        <w:ind w:left="576" w:hanging="288"/>
      </w:pPr>
      <w:r>
        <w:rPr>
          <w:rFonts w:ascii="Times New Roman" w:hAnsi="Times New Roman" w:hint="default"/>
          <w:sz w:val="24"/>
          <w:szCs w:val="24"/>
          <w:rtl w:val="0"/>
          <w:lang w:val="en-US"/>
        </w:rPr>
        <w:t xml:space="preserve">•  </w:t>
      </w:r>
      <w:r>
        <w:rPr>
          <w:rFonts w:ascii="Times New Roman" w:hAnsi="Times New Roman"/>
          <w:sz w:val="24"/>
          <w:szCs w:val="24"/>
          <w:rtl w:val="0"/>
          <w:lang w:val="en-US"/>
        </w:rPr>
        <w:t>Research and Variant Curation: Supports large-scale variant curation projects by providing automated ACMG/AMP classifications with full evidence documentation.</w:t>
      </w:r>
    </w:p>
    <w:p>
      <w:pPr>
        <w:pStyle w:val="Body"/>
        <w:spacing w:after="80"/>
        <w:ind w:left="576" w:hanging="288"/>
      </w:pPr>
      <w:r>
        <w:rPr>
          <w:rFonts w:ascii="Times New Roman" w:hAnsi="Times New Roman" w:hint="default"/>
          <w:sz w:val="24"/>
          <w:szCs w:val="24"/>
          <w:rtl w:val="0"/>
          <w:lang w:val="en-US"/>
        </w:rPr>
        <w:t xml:space="preserve">•  </w:t>
      </w:r>
      <w:r>
        <w:rPr>
          <w:rFonts w:ascii="Times New Roman" w:hAnsi="Times New Roman"/>
          <w:sz w:val="24"/>
          <w:szCs w:val="24"/>
          <w:rtl w:val="0"/>
          <w:lang w:val="en-US"/>
        </w:rPr>
        <w:t>Medical Education: Provides a teaching tool for clinical genetics trainees to understand the application of ACMG/AMP criteria to real epilepsy variants.</w:t>
      </w:r>
    </w:p>
    <w:p>
      <w:pPr>
        <w:pStyle w:val="Body"/>
        <w:spacing w:after="80"/>
        <w:ind w:left="576" w:hanging="288"/>
      </w:pPr>
      <w:r>
        <w:rPr>
          <w:rFonts w:ascii="Times New Roman" w:hAnsi="Times New Roman" w:hint="default"/>
          <w:sz w:val="24"/>
          <w:szCs w:val="24"/>
          <w:rtl w:val="0"/>
          <w:lang w:val="en-US"/>
        </w:rPr>
        <w:t xml:space="preserve">•  </w:t>
      </w:r>
      <w:r>
        <w:rPr>
          <w:rFonts w:ascii="Times New Roman" w:hAnsi="Times New Roman"/>
          <w:sz w:val="24"/>
          <w:szCs w:val="24"/>
          <w:rtl w:val="0"/>
          <w:lang w:val="en-US"/>
        </w:rPr>
        <w:t>Pharmacogenomics: Integration with PharmGKB enables identification of variants with drug-response implications for anti-epileptic drug selection.</w:t>
      </w:r>
    </w:p>
    <w:p>
      <w:pPr>
        <w:pStyle w:val="Body"/>
        <w:spacing w:after="80"/>
        <w:ind w:left="576" w:hanging="288"/>
      </w:pPr>
      <w:r>
        <w:rPr>
          <w:rFonts w:ascii="Times New Roman" w:hAnsi="Times New Roman" w:hint="default"/>
          <w:sz w:val="24"/>
          <w:szCs w:val="24"/>
          <w:rtl w:val="0"/>
          <w:lang w:val="en-US"/>
        </w:rPr>
        <w:t xml:space="preserve">•  </w:t>
      </w:r>
      <w:r>
        <w:rPr>
          <w:rFonts w:ascii="Times New Roman" w:hAnsi="Times New Roman"/>
          <w:sz w:val="24"/>
          <w:szCs w:val="24"/>
          <w:rtl w:val="0"/>
          <w:lang w:val="en-US"/>
        </w:rPr>
        <w:t>Hospital Information Systems: Can be integrated into electronic health records as a decision-support plugin for neurology departments.</w:t>
      </w:r>
    </w:p>
    <w:p>
      <w:pPr>
        <w:pStyle w:val="Body"/>
        <w:spacing w:before="240" w:after="120"/>
      </w:pPr>
      <w:r>
        <w:rPr>
          <w:rFonts w:ascii="Times New Roman" w:hAnsi="Times New Roman"/>
          <w:b w:val="1"/>
          <w:bCs w:val="1"/>
          <w:sz w:val="24"/>
          <w:szCs w:val="24"/>
          <w:rtl w:val="0"/>
          <w:lang w:val="en-US"/>
        </w:rPr>
        <w:t>1.6 Existing Solutions</w:t>
      </w:r>
    </w:p>
    <w:p>
      <w:pPr>
        <w:pStyle w:val="Body"/>
        <w:spacing w:after="120" w:line="360" w:lineRule="auto"/>
        <w:jc w:val="both"/>
      </w:pPr>
      <w:r>
        <w:rPr>
          <w:rFonts w:ascii="Times New Roman" w:hAnsi="Times New Roman"/>
          <w:sz w:val="24"/>
          <w:szCs w:val="24"/>
          <w:rtl w:val="0"/>
          <w:lang w:val="en-US"/>
        </w:rPr>
        <w:t>Several tools and databases have been developed to assist with variant classification, but each has significant limitations when applied to the specific domain of epilepsy genetics:</w:t>
      </w:r>
    </w:p>
    <w:p>
      <w:pPr>
        <w:pStyle w:val="Body"/>
        <w:spacing w:after="120" w:line="360" w:lineRule="auto"/>
        <w:jc w:val="both"/>
      </w:pPr>
      <w:r>
        <w:rPr>
          <w:rFonts w:ascii="Times New Roman" w:hAnsi="Times New Roman"/>
          <w:sz w:val="24"/>
          <w:szCs w:val="24"/>
          <w:rtl w:val="0"/>
          <w:lang w:val="en-US"/>
        </w:rPr>
        <w:t xml:space="preserve">ClinVar is the primary public repository of variant-disease relationships maintained by NCBI. While invaluable, ClinVar is a database rather than a classifier </w:t>
      </w:r>
      <w:r>
        <w:rPr>
          <w:rFonts w:ascii="Times New Roman" w:hAnsi="Times New Roman" w:hint="default"/>
          <w:sz w:val="24"/>
          <w:szCs w:val="24"/>
          <w:rtl w:val="0"/>
          <w:lang w:val="en-US"/>
        </w:rPr>
        <w:t xml:space="preserve">— </w:t>
      </w:r>
      <w:r>
        <w:rPr>
          <w:rFonts w:ascii="Times New Roman" w:hAnsi="Times New Roman"/>
          <w:sz w:val="24"/>
          <w:szCs w:val="24"/>
          <w:rtl w:val="0"/>
          <w:lang w:val="en-US"/>
        </w:rPr>
        <w:t>it reports existing submissions rather than predicting pathogenicity for novel variants. Furthermore, a large proportion of epilepsy variants in ClinVar are classified as VUS, providing limited diagnostic utility.</w:t>
      </w:r>
    </w:p>
    <w:p>
      <w:pPr>
        <w:pStyle w:val="Body"/>
        <w:spacing w:after="120" w:line="360" w:lineRule="auto"/>
        <w:jc w:val="both"/>
      </w:pPr>
      <w:r>
        <w:rPr>
          <w:rFonts w:ascii="Times New Roman" w:hAnsi="Times New Roman"/>
          <w:sz w:val="24"/>
          <w:szCs w:val="24"/>
          <w:rtl w:val="0"/>
          <w:lang w:val="en-US"/>
        </w:rPr>
        <w:t>CADD (Combined Annotation-Dependent Depletion) and REVEL provide pathogenicity scores for missense variants but do not produce ACMG-tier classifications, do not account for gene-specific disease mechanisms, and lack integration with population frequency or de novo status evidence.</w:t>
      </w:r>
    </w:p>
    <w:p>
      <w:pPr>
        <w:pStyle w:val="Body"/>
        <w:spacing w:after="120" w:line="360" w:lineRule="auto"/>
        <w:jc w:val="both"/>
      </w:pPr>
      <w:r>
        <w:rPr>
          <w:rFonts w:ascii="Times New Roman" w:hAnsi="Times New Roman"/>
          <w:sz w:val="24"/>
          <w:szCs w:val="24"/>
          <w:rtl w:val="0"/>
          <w:lang w:val="en-US"/>
        </w:rPr>
        <w:t>InterVar is an automated tool for ACMG/AMP variant interpretation but is a general-purpose classifier that lacks domain-specific gene mechanism knowledge for epilepsy genes and does not integrate a RAG narrative generation layer.</w:t>
      </w:r>
    </w:p>
    <w:p>
      <w:pPr>
        <w:pStyle w:val="Body"/>
        <w:spacing w:after="120" w:line="360" w:lineRule="auto"/>
        <w:jc w:val="both"/>
      </w:pPr>
      <w:r>
        <w:rPr>
          <w:rFonts w:ascii="Times New Roman" w:hAnsi="Times New Roman"/>
          <w:sz w:val="24"/>
          <w:szCs w:val="24"/>
          <w:rtl w:val="0"/>
          <w:lang w:val="en-US"/>
        </w:rPr>
        <w:t>Epi25 and the Genetic Epilepsy Team at Boston Children's Hospital have published large epilepsy-specific variant datasets, but these are research databases rather than clinical decision support tools.</w:t>
      </w:r>
    </w:p>
    <w:p>
      <w:pPr>
        <w:pStyle w:val="Body"/>
        <w:spacing w:after="120" w:line="360" w:lineRule="auto"/>
        <w:jc w:val="both"/>
      </w:pPr>
      <w:r>
        <w:rPr>
          <w:rFonts w:ascii="Times New Roman" w:hAnsi="Times New Roman"/>
          <w:sz w:val="24"/>
          <w:szCs w:val="24"/>
          <w:rtl w:val="0"/>
          <w:lang w:val="en-US"/>
        </w:rPr>
        <w:t xml:space="preserve">The primary gap across all existing solutions is the absence of an integrated system that combines ML-based pathogenicity prediction, automated ACMG/AMP classification with gene-mechanism awareness, SHAP explainability mapped to ACMG criteria, and multi-source evidence RAG generation </w:t>
      </w:r>
      <w:r>
        <w:rPr>
          <w:rFonts w:ascii="Times New Roman" w:hAnsi="Times New Roman" w:hint="default"/>
          <w:sz w:val="24"/>
          <w:szCs w:val="24"/>
          <w:rtl w:val="0"/>
          <w:lang w:val="en-US"/>
        </w:rPr>
        <w:t xml:space="preserve">— </w:t>
      </w:r>
      <w:r>
        <w:rPr>
          <w:rFonts w:ascii="Times New Roman" w:hAnsi="Times New Roman"/>
          <w:sz w:val="24"/>
          <w:szCs w:val="24"/>
          <w:rtl w:val="0"/>
          <w:lang w:val="en-US"/>
        </w:rPr>
        <w:t>all within a single clinical web application.</w:t>
      </w:r>
    </w:p>
    <w:p>
      <w:pPr>
        <w:pStyle w:val="Body"/>
        <w:spacing w:before="240" w:after="120"/>
      </w:pPr>
      <w:r>
        <w:rPr>
          <w:rFonts w:ascii="Times New Roman" w:hAnsi="Times New Roman"/>
          <w:b w:val="1"/>
          <w:bCs w:val="1"/>
          <w:sz w:val="24"/>
          <w:szCs w:val="24"/>
          <w:rtl w:val="0"/>
          <w:lang w:val="en-US"/>
        </w:rPr>
        <w:t>1.7 Proposed Solution</w:t>
      </w:r>
    </w:p>
    <w:p>
      <w:pPr>
        <w:pStyle w:val="Body"/>
        <w:spacing w:after="120" w:line="360" w:lineRule="auto"/>
        <w:jc w:val="both"/>
      </w:pPr>
      <w:r>
        <w:rPr>
          <w:rFonts w:ascii="Times New Roman" w:hAnsi="Times New Roman"/>
          <w:sz w:val="24"/>
          <w:szCs w:val="24"/>
          <w:rtl w:val="0"/>
          <w:lang w:val="en-US"/>
        </w:rPr>
        <w:t>The proposed Epilepsy Variant Diagnostic Assistant is a ten-layer AI pipeline that addresses each of the identified gaps in existing solutions:</w:t>
      </w:r>
    </w:p>
    <w:p>
      <w:pPr>
        <w:pStyle w:val="Body"/>
        <w:spacing w:after="80"/>
        <w:ind w:left="576" w:hanging="288"/>
      </w:pPr>
      <w:r>
        <w:rPr>
          <w:rFonts w:ascii="Times New Roman" w:hAnsi="Times New Roman" w:hint="default"/>
          <w:sz w:val="24"/>
          <w:szCs w:val="24"/>
          <w:rtl w:val="0"/>
          <w:lang w:val="en-US"/>
        </w:rPr>
        <w:t xml:space="preserve">•  </w:t>
      </w:r>
      <w:r>
        <w:rPr>
          <w:rFonts w:ascii="Times New Roman" w:hAnsi="Times New Roman"/>
          <w:sz w:val="24"/>
          <w:szCs w:val="24"/>
          <w:rtl w:val="0"/>
          <w:lang w:val="en-US"/>
        </w:rPr>
        <w:t xml:space="preserve">Layer 1 </w:t>
      </w:r>
      <w:r>
        <w:rPr>
          <w:rFonts w:ascii="Times New Roman" w:hAnsi="Times New Roman" w:hint="default"/>
          <w:sz w:val="24"/>
          <w:szCs w:val="24"/>
          <w:rtl w:val="0"/>
          <w:lang w:val="en-US"/>
        </w:rPr>
        <w:t xml:space="preserve">— </w:t>
      </w:r>
      <w:r>
        <w:rPr>
          <w:rFonts w:ascii="Times New Roman" w:hAnsi="Times New Roman"/>
          <w:sz w:val="24"/>
          <w:szCs w:val="24"/>
          <w:rtl w:val="0"/>
          <w:lang w:val="en-US"/>
        </w:rPr>
        <w:t>Input Validation: Pydantic-enforced schema validation of variant input (gene, chromosome, alleles, consequence, origin, review status).</w:t>
      </w:r>
    </w:p>
    <w:p>
      <w:pPr>
        <w:pStyle w:val="Body"/>
        <w:spacing w:after="80"/>
        <w:ind w:left="576" w:hanging="288"/>
      </w:pPr>
      <w:r>
        <w:rPr>
          <w:rFonts w:ascii="Times New Roman" w:hAnsi="Times New Roman" w:hint="default"/>
          <w:sz w:val="24"/>
          <w:szCs w:val="24"/>
          <w:rtl w:val="0"/>
          <w:lang w:val="en-US"/>
        </w:rPr>
        <w:t xml:space="preserve">•  </w:t>
      </w:r>
      <w:r>
        <w:rPr>
          <w:rFonts w:ascii="Times New Roman" w:hAnsi="Times New Roman"/>
          <w:sz w:val="24"/>
          <w:szCs w:val="24"/>
          <w:rtl w:val="0"/>
          <w:lang w:val="en-US"/>
        </w:rPr>
        <w:t xml:space="preserve">Layer 2 </w:t>
      </w:r>
      <w:r>
        <w:rPr>
          <w:rFonts w:ascii="Times New Roman" w:hAnsi="Times New Roman" w:hint="default"/>
          <w:sz w:val="24"/>
          <w:szCs w:val="24"/>
          <w:rtl w:val="0"/>
          <w:lang w:val="en-US"/>
        </w:rPr>
        <w:t xml:space="preserve">— </w:t>
      </w:r>
      <w:r>
        <w:rPr>
          <w:rFonts w:ascii="Times New Roman" w:hAnsi="Times New Roman"/>
          <w:sz w:val="24"/>
          <w:szCs w:val="24"/>
          <w:rtl w:val="0"/>
          <w:lang w:val="en-US"/>
        </w:rPr>
        <w:t>Feature Engineering: Transformation of raw variant attributes into a 93-dimensional numerical feature vector including gene one-hot encoding, consequence severity flags, origin encoding, review score, and chromosomal position features.</w:t>
      </w:r>
    </w:p>
    <w:p>
      <w:pPr>
        <w:pStyle w:val="Body"/>
        <w:spacing w:after="80"/>
        <w:ind w:left="576" w:hanging="288"/>
      </w:pPr>
      <w:r>
        <w:rPr>
          <w:rFonts w:ascii="Times New Roman" w:hAnsi="Times New Roman" w:hint="default"/>
          <w:sz w:val="24"/>
          <w:szCs w:val="24"/>
          <w:rtl w:val="0"/>
          <w:lang w:val="en-US"/>
        </w:rPr>
        <w:t xml:space="preserve">•  </w:t>
      </w:r>
      <w:r>
        <w:rPr>
          <w:rFonts w:ascii="Times New Roman" w:hAnsi="Times New Roman"/>
          <w:sz w:val="24"/>
          <w:szCs w:val="24"/>
          <w:rtl w:val="0"/>
          <w:lang w:val="en-US"/>
        </w:rPr>
        <w:t xml:space="preserve">Layer 3 </w:t>
      </w:r>
      <w:r>
        <w:rPr>
          <w:rFonts w:ascii="Times New Roman" w:hAnsi="Times New Roman" w:hint="default"/>
          <w:sz w:val="24"/>
          <w:szCs w:val="24"/>
          <w:rtl w:val="0"/>
          <w:lang w:val="en-US"/>
        </w:rPr>
        <w:t xml:space="preserve">— </w:t>
      </w:r>
      <w:r>
        <w:rPr>
          <w:rFonts w:ascii="Times New Roman" w:hAnsi="Times New Roman"/>
          <w:sz w:val="24"/>
          <w:szCs w:val="24"/>
          <w:rtl w:val="0"/>
          <w:lang w:val="en-US"/>
        </w:rPr>
        <w:t>ML Classifier: XGBoost (n_estimators=300, max_depth=8, lr=0.05) with isotonic calibration producing well-calibrated pathogenic probability estimates.</w:t>
      </w:r>
    </w:p>
    <w:p>
      <w:pPr>
        <w:pStyle w:val="Body"/>
        <w:spacing w:after="80"/>
        <w:ind w:left="576" w:hanging="288"/>
      </w:pPr>
      <w:r>
        <w:rPr>
          <w:rFonts w:ascii="Times New Roman" w:hAnsi="Times New Roman" w:hint="default"/>
          <w:sz w:val="24"/>
          <w:szCs w:val="24"/>
          <w:rtl w:val="0"/>
          <w:lang w:val="en-US"/>
        </w:rPr>
        <w:t xml:space="preserve">•  </w:t>
      </w:r>
      <w:r>
        <w:rPr>
          <w:rFonts w:ascii="Times New Roman" w:hAnsi="Times New Roman"/>
          <w:sz w:val="24"/>
          <w:szCs w:val="24"/>
          <w:rtl w:val="0"/>
          <w:lang w:val="en-US"/>
        </w:rPr>
        <w:t xml:space="preserve">Layer 4 </w:t>
      </w:r>
      <w:r>
        <w:rPr>
          <w:rFonts w:ascii="Times New Roman" w:hAnsi="Times New Roman" w:hint="default"/>
          <w:sz w:val="24"/>
          <w:szCs w:val="24"/>
          <w:rtl w:val="0"/>
          <w:lang w:val="en-US"/>
        </w:rPr>
        <w:t xml:space="preserve">— </w:t>
      </w:r>
      <w:r>
        <w:rPr>
          <w:rFonts w:ascii="Times New Roman" w:hAnsi="Times New Roman"/>
          <w:sz w:val="24"/>
          <w:szCs w:val="24"/>
          <w:rtl w:val="0"/>
          <w:lang w:val="en-US"/>
        </w:rPr>
        <w:t>SHAP Explainer: TreeSHAP computes per-feature attributions translated into clinical language and mapped to ACMG PP3/BP4 criteria.</w:t>
      </w:r>
    </w:p>
    <w:p>
      <w:pPr>
        <w:pStyle w:val="Body"/>
        <w:spacing w:after="80"/>
        <w:ind w:left="576" w:hanging="288"/>
      </w:pPr>
      <w:r>
        <w:rPr>
          <w:rFonts w:ascii="Times New Roman" w:hAnsi="Times New Roman" w:hint="default"/>
          <w:sz w:val="24"/>
          <w:szCs w:val="24"/>
          <w:rtl w:val="0"/>
          <w:lang w:val="en-US"/>
        </w:rPr>
        <w:t xml:space="preserve">•  </w:t>
      </w:r>
      <w:r>
        <w:rPr>
          <w:rFonts w:ascii="Times New Roman" w:hAnsi="Times New Roman"/>
          <w:sz w:val="24"/>
          <w:szCs w:val="24"/>
          <w:rtl w:val="0"/>
          <w:lang w:val="en-US"/>
        </w:rPr>
        <w:t xml:space="preserve">Layer 5 </w:t>
      </w:r>
      <w:r>
        <w:rPr>
          <w:rFonts w:ascii="Times New Roman" w:hAnsi="Times New Roman" w:hint="default"/>
          <w:sz w:val="24"/>
          <w:szCs w:val="24"/>
          <w:rtl w:val="0"/>
          <w:lang w:val="en-US"/>
        </w:rPr>
        <w:t xml:space="preserve">— </w:t>
      </w:r>
      <w:r>
        <w:rPr>
          <w:rFonts w:ascii="Times New Roman" w:hAnsi="Times New Roman"/>
          <w:sz w:val="24"/>
          <w:szCs w:val="24"/>
          <w:rtl w:val="0"/>
          <w:lang w:val="en-US"/>
        </w:rPr>
        <w:t>ACMG Engine: Automated application of 14 ACMG/AMP criteria with Tavtigian scoring, producing a five-tier classification with full criterion justification.</w:t>
      </w:r>
    </w:p>
    <w:p>
      <w:pPr>
        <w:pStyle w:val="Body"/>
        <w:spacing w:after="80"/>
        <w:ind w:left="576" w:hanging="288"/>
      </w:pPr>
      <w:r>
        <w:rPr>
          <w:rFonts w:ascii="Times New Roman" w:hAnsi="Times New Roman" w:hint="default"/>
          <w:sz w:val="24"/>
          <w:szCs w:val="24"/>
          <w:rtl w:val="0"/>
          <w:lang w:val="en-US"/>
        </w:rPr>
        <w:t xml:space="preserve">•  </w:t>
      </w:r>
      <w:r>
        <w:rPr>
          <w:rFonts w:ascii="Times New Roman" w:hAnsi="Times New Roman"/>
          <w:sz w:val="24"/>
          <w:szCs w:val="24"/>
          <w:rtl w:val="0"/>
          <w:lang w:val="en-US"/>
        </w:rPr>
        <w:t xml:space="preserve">Layer 6 </w:t>
      </w:r>
      <w:r>
        <w:rPr>
          <w:rFonts w:ascii="Times New Roman" w:hAnsi="Times New Roman" w:hint="default"/>
          <w:sz w:val="24"/>
          <w:szCs w:val="24"/>
          <w:rtl w:val="0"/>
          <w:lang w:val="en-US"/>
        </w:rPr>
        <w:t xml:space="preserve">— </w:t>
      </w:r>
      <w:r>
        <w:rPr>
          <w:rFonts w:ascii="Times New Roman" w:hAnsi="Times New Roman"/>
          <w:sz w:val="24"/>
          <w:szCs w:val="24"/>
          <w:rtl w:val="0"/>
          <w:lang w:val="en-US"/>
        </w:rPr>
        <w:t>Multi-Source Retriever: Parallel queries to ClinVar REST API, gnomAD GraphQL API, a PubMed FAISS vector index (363 vectors), and PharmGKB.</w:t>
      </w:r>
    </w:p>
    <w:p>
      <w:pPr>
        <w:pStyle w:val="Body"/>
        <w:spacing w:after="80"/>
        <w:ind w:left="576" w:hanging="288"/>
      </w:pPr>
      <w:r>
        <w:rPr>
          <w:rFonts w:ascii="Times New Roman" w:hAnsi="Times New Roman" w:hint="default"/>
          <w:sz w:val="24"/>
          <w:szCs w:val="24"/>
          <w:rtl w:val="0"/>
          <w:lang w:val="en-US"/>
        </w:rPr>
        <w:t xml:space="preserve">•  </w:t>
      </w:r>
      <w:r>
        <w:rPr>
          <w:rFonts w:ascii="Times New Roman" w:hAnsi="Times New Roman"/>
          <w:sz w:val="24"/>
          <w:szCs w:val="24"/>
          <w:rtl w:val="0"/>
          <w:lang w:val="en-US"/>
        </w:rPr>
        <w:t xml:space="preserve">Layer 7 </w:t>
      </w:r>
      <w:r>
        <w:rPr>
          <w:rFonts w:ascii="Times New Roman" w:hAnsi="Times New Roman" w:hint="default"/>
          <w:sz w:val="24"/>
          <w:szCs w:val="24"/>
          <w:rtl w:val="0"/>
          <w:lang w:val="en-US"/>
        </w:rPr>
        <w:t xml:space="preserve">— </w:t>
      </w:r>
      <w:r>
        <w:rPr>
          <w:rFonts w:ascii="Times New Roman" w:hAnsi="Times New Roman"/>
          <w:sz w:val="24"/>
          <w:szCs w:val="24"/>
          <w:rtl w:val="0"/>
          <w:lang w:val="en-US"/>
        </w:rPr>
        <w:t>Confidence Resolver: Six-zone routing based on pathogenic probability; triggers additional evidence gathering for uncertain predictions (0.30</w:t>
      </w:r>
      <w:r>
        <w:rPr>
          <w:rFonts w:ascii="Times New Roman" w:hAnsi="Times New Roman" w:hint="default"/>
          <w:sz w:val="24"/>
          <w:szCs w:val="24"/>
          <w:rtl w:val="0"/>
          <w:lang w:val="en-US"/>
        </w:rPr>
        <w:t>–</w:t>
      </w:r>
      <w:r>
        <w:rPr>
          <w:rFonts w:ascii="Times New Roman" w:hAnsi="Times New Roman"/>
          <w:sz w:val="24"/>
          <w:szCs w:val="24"/>
          <w:rtl w:val="0"/>
          <w:lang w:val="it-IT"/>
        </w:rPr>
        <w:t>0.70).</w:t>
      </w:r>
    </w:p>
    <w:p>
      <w:pPr>
        <w:pStyle w:val="Body"/>
        <w:spacing w:after="80"/>
        <w:ind w:left="576" w:hanging="288"/>
      </w:pPr>
      <w:r>
        <w:rPr>
          <w:rFonts w:ascii="Times New Roman" w:hAnsi="Times New Roman" w:hint="default"/>
          <w:sz w:val="24"/>
          <w:szCs w:val="24"/>
          <w:rtl w:val="0"/>
          <w:lang w:val="en-US"/>
        </w:rPr>
        <w:t xml:space="preserve">•  </w:t>
      </w:r>
      <w:r>
        <w:rPr>
          <w:rFonts w:ascii="Times New Roman" w:hAnsi="Times New Roman"/>
          <w:sz w:val="24"/>
          <w:szCs w:val="24"/>
          <w:rtl w:val="0"/>
          <w:lang w:val="en-US"/>
        </w:rPr>
        <w:t xml:space="preserve">Layer 8 </w:t>
      </w:r>
      <w:r>
        <w:rPr>
          <w:rFonts w:ascii="Times New Roman" w:hAnsi="Times New Roman" w:hint="default"/>
          <w:sz w:val="24"/>
          <w:szCs w:val="24"/>
          <w:rtl w:val="0"/>
          <w:lang w:val="en-US"/>
        </w:rPr>
        <w:t xml:space="preserve">— </w:t>
      </w:r>
      <w:r>
        <w:rPr>
          <w:rFonts w:ascii="Times New Roman" w:hAnsi="Times New Roman"/>
          <w:sz w:val="24"/>
          <w:szCs w:val="24"/>
          <w:rtl w:val="0"/>
          <w:lang w:val="en-US"/>
        </w:rPr>
        <w:t>Contradiction Detector: Identifies conflicts between ML prediction, ClinVar classification, gnomAD frequency, and variant consequence.</w:t>
      </w:r>
    </w:p>
    <w:p>
      <w:pPr>
        <w:pStyle w:val="Body"/>
        <w:spacing w:after="80"/>
        <w:ind w:left="576" w:hanging="288"/>
      </w:pPr>
      <w:r>
        <w:rPr>
          <w:rFonts w:ascii="Times New Roman" w:hAnsi="Times New Roman" w:hint="default"/>
          <w:sz w:val="24"/>
          <w:szCs w:val="24"/>
          <w:rtl w:val="0"/>
          <w:lang w:val="en-US"/>
        </w:rPr>
        <w:t xml:space="preserve">•  </w:t>
      </w:r>
      <w:r>
        <w:rPr>
          <w:rFonts w:ascii="Times New Roman" w:hAnsi="Times New Roman"/>
          <w:sz w:val="24"/>
          <w:szCs w:val="24"/>
          <w:rtl w:val="0"/>
          <w:lang w:val="en-US"/>
        </w:rPr>
        <w:t xml:space="preserve">Layer 9 </w:t>
      </w:r>
      <w:r>
        <w:rPr>
          <w:rFonts w:ascii="Times New Roman" w:hAnsi="Times New Roman" w:hint="default"/>
          <w:sz w:val="24"/>
          <w:szCs w:val="24"/>
          <w:rtl w:val="0"/>
          <w:lang w:val="en-US"/>
        </w:rPr>
        <w:t xml:space="preserve">— </w:t>
      </w:r>
      <w:r>
        <w:rPr>
          <w:rFonts w:ascii="Times New Roman" w:hAnsi="Times New Roman"/>
          <w:sz w:val="24"/>
          <w:szCs w:val="24"/>
          <w:rtl w:val="0"/>
          <w:lang w:val="en-US"/>
        </w:rPr>
        <w:t>RAG Generator: Synthesizes all evidence into a structured clinical narrative using an LLM (Groq llama-3.3-70b-versatile).</w:t>
      </w:r>
    </w:p>
    <w:p>
      <w:pPr>
        <w:pStyle w:val="Body"/>
        <w:numPr>
          <w:ilvl w:val="0"/>
          <w:numId w:val="2"/>
        </w:numPr>
        <w:spacing w:after="80"/>
        <w:rPr>
          <w:sz w:val="24"/>
          <w:szCs w:val="24"/>
          <w:lang w:val="en-US"/>
        </w:rPr>
      </w:pPr>
      <w:r>
        <w:rPr>
          <w:rFonts w:ascii="Times New Roman" w:hAnsi="Times New Roman"/>
          <w:sz w:val="24"/>
          <w:szCs w:val="24"/>
          <w:rtl w:val="0"/>
          <w:lang w:val="en-US"/>
        </w:rPr>
        <w:t xml:space="preserve"> </w:t>
      </w:r>
      <w:r>
        <w:rPr>
          <w:rFonts w:ascii="Times New Roman" w:hAnsi="Times New Roman"/>
          <w:sz w:val="24"/>
          <w:szCs w:val="24"/>
          <w:rtl w:val="0"/>
          <w:lang w:val="en-US"/>
        </w:rPr>
        <w:t xml:space="preserve">Layer 10 </w:t>
      </w:r>
      <w:r>
        <w:rPr>
          <w:rFonts w:ascii="Times New Roman" w:hAnsi="Times New Roman" w:hint="default"/>
          <w:sz w:val="24"/>
          <w:szCs w:val="24"/>
          <w:rtl w:val="0"/>
          <w:lang w:val="en-US"/>
        </w:rPr>
        <w:t xml:space="preserve">— </w:t>
      </w:r>
      <w:r>
        <w:rPr>
          <w:rFonts w:ascii="Times New Roman" w:hAnsi="Times New Roman"/>
          <w:sz w:val="24"/>
          <w:szCs w:val="24"/>
          <w:rtl w:val="0"/>
          <w:lang w:val="en-US"/>
        </w:rPr>
        <w:t>Response Schema: Structured JSON response with prediction, probabilities, confidence, SHAP explanation, gnomAD data, ACMG classification, and RAG narrative.</w:t>
      </w:r>
    </w:p>
    <w:p>
      <w:pPr>
        <w:pStyle w:val="Body"/>
        <w:spacing w:after="80"/>
        <w:ind w:left="576" w:hanging="288"/>
        <w:rPr>
          <w:rFonts w:ascii="Times New Roman" w:cs="Times New Roman" w:hAnsi="Times New Roman" w:eastAsia="Times New Roman"/>
          <w:sz w:val="24"/>
          <w:szCs w:val="24"/>
        </w:rPr>
      </w:pPr>
    </w:p>
    <w:p>
      <w:pPr>
        <w:pStyle w:val="Body"/>
        <w:spacing w:after="80"/>
        <w:ind w:left="576" w:hanging="288"/>
        <w:rPr>
          <w:rFonts w:ascii="Times New Roman" w:cs="Times New Roman" w:hAnsi="Times New Roman" w:eastAsia="Times New Roman"/>
          <w:sz w:val="24"/>
          <w:szCs w:val="24"/>
        </w:rPr>
      </w:pPr>
    </w:p>
    <w:p>
      <w:pPr>
        <w:pStyle w:val="Body"/>
        <w:spacing w:after="80"/>
        <w:ind w:left="576" w:hanging="288"/>
        <w:rPr>
          <w:rFonts w:ascii="Times New Roman" w:cs="Times New Roman" w:hAnsi="Times New Roman" w:eastAsia="Times New Roman"/>
          <w:sz w:val="24"/>
          <w:szCs w:val="24"/>
        </w:rPr>
      </w:pPr>
    </w:p>
    <w:p>
      <w:pPr>
        <w:pStyle w:val="Body"/>
        <w:spacing w:after="80"/>
        <w:ind w:left="576" w:hanging="288"/>
        <w:rPr>
          <w:rFonts w:ascii="Times New Roman" w:cs="Times New Roman" w:hAnsi="Times New Roman" w:eastAsia="Times New Roman"/>
          <w:sz w:val="24"/>
          <w:szCs w:val="24"/>
        </w:rPr>
      </w:pPr>
    </w:p>
    <w:p>
      <w:pPr>
        <w:pStyle w:val="Body"/>
        <w:spacing w:after="80"/>
        <w:ind w:left="576" w:hanging="288"/>
        <w:rPr>
          <w:rFonts w:ascii="Times New Roman" w:cs="Times New Roman" w:hAnsi="Times New Roman" w:eastAsia="Times New Roman"/>
          <w:sz w:val="24"/>
          <w:szCs w:val="24"/>
        </w:rPr>
      </w:pPr>
    </w:p>
    <w:p>
      <w:pPr>
        <w:pStyle w:val="Body"/>
        <w:spacing w:after="80"/>
        <w:ind w:left="576" w:hanging="288"/>
        <w:rPr>
          <w:rFonts w:ascii="Times New Roman" w:cs="Times New Roman" w:hAnsi="Times New Roman" w:eastAsia="Times New Roman"/>
          <w:sz w:val="24"/>
          <w:szCs w:val="24"/>
        </w:rPr>
      </w:pPr>
    </w:p>
    <w:p>
      <w:pPr>
        <w:pStyle w:val="Body"/>
        <w:spacing w:after="80"/>
        <w:ind w:left="576" w:hanging="288"/>
        <w:rPr>
          <w:rFonts w:ascii="Times New Roman" w:cs="Times New Roman" w:hAnsi="Times New Roman" w:eastAsia="Times New Roman"/>
          <w:sz w:val="24"/>
          <w:szCs w:val="24"/>
        </w:rPr>
      </w:pPr>
    </w:p>
    <w:p>
      <w:pPr>
        <w:pStyle w:val="Body"/>
        <w:spacing w:after="80"/>
        <w:ind w:left="576" w:hanging="288"/>
        <w:rPr>
          <w:rFonts w:ascii="Times New Roman" w:cs="Times New Roman" w:hAnsi="Times New Roman" w:eastAsia="Times New Roman"/>
          <w:sz w:val="24"/>
          <w:szCs w:val="24"/>
        </w:rPr>
      </w:pPr>
    </w:p>
    <w:p>
      <w:pPr>
        <w:pStyle w:val="Body"/>
        <w:spacing w:after="80"/>
        <w:ind w:left="576" w:hanging="288"/>
      </w:pPr>
    </w:p>
    <w:p>
      <w:pPr>
        <w:pStyle w:val="Body"/>
        <w:spacing w:before="240" w:after="120"/>
      </w:pPr>
      <w:r>
        <w:rPr>
          <w:rFonts w:ascii="Times New Roman" w:hAnsi="Times New Roman"/>
          <w:b w:val="1"/>
          <w:bCs w:val="1"/>
          <w:sz w:val="24"/>
          <w:szCs w:val="24"/>
          <w:rtl w:val="0"/>
        </w:rPr>
        <w:t>1.8 Gantt Chart</w:t>
      </w:r>
    </w:p>
    <w:p>
      <w:pPr>
        <w:pStyle w:val="Body"/>
        <w:spacing w:after="120" w:line="360" w:lineRule="auto"/>
        <w:jc w:val="both"/>
      </w:pPr>
      <w:r>
        <w:rPr>
          <w:rFonts w:ascii="Times New Roman" w:hAnsi="Times New Roman"/>
          <w:sz w:val="24"/>
          <w:szCs w:val="24"/>
          <w:rtl w:val="0"/>
          <w:lang w:val="en-US"/>
        </w:rPr>
        <w:t>Table 1.1 presents the project timeline from October 2025 to May 2026.</w:t>
      </w:r>
    </w:p>
    <w:p>
      <w:pPr>
        <w:pStyle w:val="Body"/>
        <w:jc w:val="center"/>
      </w:pPr>
      <w:r>
        <w:rPr>
          <w:rFonts w:ascii="Times New Roman" w:hAnsi="Times New Roman"/>
          <w:b w:val="1"/>
          <w:bCs w:val="1"/>
          <w:sz w:val="24"/>
          <w:szCs w:val="24"/>
          <w:rtl w:val="0"/>
          <w:lang w:val="nl-NL"/>
        </w:rPr>
        <w:t>Table 1.1: Project Gantt Chart</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00"/>
        <w:gridCol w:w="795"/>
        <w:gridCol w:w="795"/>
        <w:gridCol w:w="795"/>
        <w:gridCol w:w="795"/>
        <w:gridCol w:w="795"/>
        <w:gridCol w:w="795"/>
        <w:gridCol w:w="795"/>
        <w:gridCol w:w="795"/>
      </w:tblGrid>
      <w:tr>
        <w:tblPrEx>
          <w:shd w:val="clear" w:color="auto" w:fill="ced7e7"/>
        </w:tblPrEx>
        <w:trPr>
          <w:trHeight w:val="241" w:hRule="atLeast"/>
        </w:trPr>
        <w:tc>
          <w:tcPr>
            <w:tcW w:type="dxa" w:w="9360"/>
            <w:gridSpan w:val="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3864"/>
            <w:tcMar>
              <w:top w:type="dxa" w:w="80"/>
              <w:left w:type="dxa" w:w="80"/>
              <w:bottom w:type="dxa" w:w="80"/>
              <w:right w:type="dxa" w:w="80"/>
            </w:tcMar>
            <w:vAlign w:val="top"/>
          </w:tcPr>
          <w:p>
            <w:pPr>
              <w:pStyle w:val="Body"/>
              <w:jc w:val="center"/>
            </w:pPr>
            <w:r>
              <w:rPr>
                <w:rFonts w:ascii="Times New Roman" w:hAnsi="Times New Roman"/>
                <w:b w:val="1"/>
                <w:bCs w:val="1"/>
                <w:outline w:val="0"/>
                <w:color w:val="ffffff"/>
                <w:u w:color="ffffff"/>
                <w:shd w:val="nil" w:color="auto" w:fill="auto"/>
                <w:rtl w:val="0"/>
                <w:lang w:val="en-US"/>
                <w14:textFill>
                  <w14:solidFill>
                    <w14:srgbClr w14:val="FFFFFF"/>
                  </w14:solidFill>
                </w14:textFill>
              </w:rPr>
              <w:t xml:space="preserve">Project Schedule </w:t>
            </w:r>
            <w:r>
              <w:rPr>
                <w:rFonts w:ascii="Times New Roman" w:hAnsi="Times New Roman" w:hint="default"/>
                <w:b w:val="1"/>
                <w:bCs w:val="1"/>
                <w:outline w:val="0"/>
                <w:color w:val="ffffff"/>
                <w:u w:color="ffffff"/>
                <w:shd w:val="nil" w:color="auto" w:fill="auto"/>
                <w:rtl w:val="0"/>
                <w:lang w:val="en-US"/>
                <w14:textFill>
                  <w14:solidFill>
                    <w14:srgbClr w14:val="FFFFFF"/>
                  </w14:solidFill>
                </w14:textFill>
              </w:rPr>
              <w:t xml:space="preserve">— </w:t>
            </w:r>
            <w:r>
              <w:rPr>
                <w:rFonts w:ascii="Times New Roman" w:hAnsi="Times New Roman"/>
                <w:b w:val="1"/>
                <w:bCs w:val="1"/>
                <w:outline w:val="0"/>
                <w:color w:val="ffffff"/>
                <w:u w:color="ffffff"/>
                <w:shd w:val="nil" w:color="auto" w:fill="auto"/>
                <w:rtl w:val="0"/>
                <w:lang w:val="en-US"/>
                <w14:textFill>
                  <w14:solidFill>
                    <w14:srgbClr w14:val="FFFFFF"/>
                  </w14:solidFill>
                </w14:textFill>
              </w:rPr>
              <w:t>October 2025 to May 2026</w:t>
            </w:r>
          </w:p>
        </w:tc>
      </w:tr>
      <w:tr>
        <w:tblPrEx>
          <w:shd w:val="clear" w:color="auto" w:fill="ced7e7"/>
        </w:tblPrEx>
        <w:trPr>
          <w:trHeight w:val="402" w:hRule="atLeast"/>
        </w:trPr>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2e4057"/>
            <w:tcMar>
              <w:top w:type="dxa" w:w="80"/>
              <w:left w:type="dxa" w:w="80"/>
              <w:bottom w:type="dxa" w:w="80"/>
              <w:right w:type="dxa" w:w="80"/>
            </w:tcMar>
            <w:vAlign w:val="top"/>
          </w:tcPr>
          <w:p>
            <w:pPr>
              <w:pStyle w:val="Body"/>
              <w:spacing w:after="0" w:line="240" w:lineRule="auto"/>
              <w:jc w:val="center"/>
            </w:pPr>
            <w:r>
              <w:rPr>
                <w:rFonts w:ascii="Times New Roman" w:hAnsi="Times New Roman"/>
                <w:b w:val="1"/>
                <w:bCs w:val="1"/>
                <w:outline w:val="0"/>
                <w:color w:val="ffffff"/>
                <w:sz w:val="18"/>
                <w:szCs w:val="18"/>
                <w:u w:color="ffffff"/>
                <w:shd w:val="nil" w:color="auto" w:fill="auto"/>
                <w:rtl w:val="0"/>
                <w:lang w:val="en-US"/>
                <w14:textFill>
                  <w14:solidFill>
                    <w14:srgbClr w14:val="FFFFFF"/>
                  </w14:solidFill>
                </w14:textFill>
              </w:rPr>
              <w:t>Activity / Phase</w:t>
            </w:r>
          </w:p>
        </w:tc>
        <w:tc>
          <w:tcPr>
            <w:tcW w:type="dxa" w:w="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2e4057"/>
            <w:tcMar>
              <w:top w:type="dxa" w:w="80"/>
              <w:left w:type="dxa" w:w="80"/>
              <w:bottom w:type="dxa" w:w="80"/>
              <w:right w:type="dxa" w:w="80"/>
            </w:tcMar>
            <w:vAlign w:val="top"/>
          </w:tcPr>
          <w:p>
            <w:pPr>
              <w:pStyle w:val="Body"/>
              <w:spacing w:after="0" w:line="240" w:lineRule="auto"/>
              <w:jc w:val="center"/>
            </w:pPr>
            <w:r>
              <w:rPr>
                <w:rFonts w:ascii="Times New Roman" w:hAnsi="Times New Roman"/>
                <w:b w:val="1"/>
                <w:bCs w:val="1"/>
                <w:outline w:val="0"/>
                <w:color w:val="ffffff"/>
                <w:sz w:val="18"/>
                <w:szCs w:val="18"/>
                <w:u w:color="ffffff"/>
                <w:shd w:val="nil" w:color="auto" w:fill="auto"/>
                <w:rtl w:val="0"/>
                <w:lang w:val="en-US"/>
                <w14:textFill>
                  <w14:solidFill>
                    <w14:srgbClr w14:val="FFFFFF"/>
                  </w14:solidFill>
                </w14:textFill>
              </w:rPr>
              <w:t>Oct 2025</w:t>
            </w:r>
          </w:p>
        </w:tc>
        <w:tc>
          <w:tcPr>
            <w:tcW w:type="dxa" w:w="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2e4057"/>
            <w:tcMar>
              <w:top w:type="dxa" w:w="80"/>
              <w:left w:type="dxa" w:w="80"/>
              <w:bottom w:type="dxa" w:w="80"/>
              <w:right w:type="dxa" w:w="80"/>
            </w:tcMar>
            <w:vAlign w:val="top"/>
          </w:tcPr>
          <w:p>
            <w:pPr>
              <w:pStyle w:val="Body"/>
              <w:spacing w:after="0" w:line="240" w:lineRule="auto"/>
              <w:jc w:val="center"/>
            </w:pPr>
            <w:r>
              <w:rPr>
                <w:rFonts w:ascii="Times New Roman" w:hAnsi="Times New Roman"/>
                <w:b w:val="1"/>
                <w:bCs w:val="1"/>
                <w:outline w:val="0"/>
                <w:color w:val="ffffff"/>
                <w:sz w:val="18"/>
                <w:szCs w:val="18"/>
                <w:u w:color="ffffff"/>
                <w:shd w:val="nil" w:color="auto" w:fill="auto"/>
                <w:rtl w:val="0"/>
                <w:lang w:val="en-US"/>
                <w14:textFill>
                  <w14:solidFill>
                    <w14:srgbClr w14:val="FFFFFF"/>
                  </w14:solidFill>
                </w14:textFill>
              </w:rPr>
              <w:t>Nov 2025</w:t>
            </w:r>
          </w:p>
        </w:tc>
        <w:tc>
          <w:tcPr>
            <w:tcW w:type="dxa" w:w="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2e4057"/>
            <w:tcMar>
              <w:top w:type="dxa" w:w="80"/>
              <w:left w:type="dxa" w:w="80"/>
              <w:bottom w:type="dxa" w:w="80"/>
              <w:right w:type="dxa" w:w="80"/>
            </w:tcMar>
            <w:vAlign w:val="top"/>
          </w:tcPr>
          <w:p>
            <w:pPr>
              <w:pStyle w:val="Body"/>
              <w:spacing w:after="0" w:line="240" w:lineRule="auto"/>
              <w:jc w:val="center"/>
            </w:pPr>
            <w:r>
              <w:rPr>
                <w:rFonts w:ascii="Times New Roman" w:hAnsi="Times New Roman"/>
                <w:b w:val="1"/>
                <w:bCs w:val="1"/>
                <w:outline w:val="0"/>
                <w:color w:val="ffffff"/>
                <w:sz w:val="18"/>
                <w:szCs w:val="18"/>
                <w:u w:color="ffffff"/>
                <w:shd w:val="nil" w:color="auto" w:fill="auto"/>
                <w:rtl w:val="0"/>
                <w:lang w:val="en-US"/>
                <w14:textFill>
                  <w14:solidFill>
                    <w14:srgbClr w14:val="FFFFFF"/>
                  </w14:solidFill>
                </w14:textFill>
              </w:rPr>
              <w:t>Dec 2025</w:t>
            </w:r>
          </w:p>
        </w:tc>
        <w:tc>
          <w:tcPr>
            <w:tcW w:type="dxa" w:w="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2e4057"/>
            <w:tcMar>
              <w:top w:type="dxa" w:w="80"/>
              <w:left w:type="dxa" w:w="80"/>
              <w:bottom w:type="dxa" w:w="80"/>
              <w:right w:type="dxa" w:w="80"/>
            </w:tcMar>
            <w:vAlign w:val="top"/>
          </w:tcPr>
          <w:p>
            <w:pPr>
              <w:pStyle w:val="Body"/>
              <w:spacing w:after="0" w:line="240" w:lineRule="auto"/>
              <w:jc w:val="center"/>
            </w:pPr>
            <w:r>
              <w:rPr>
                <w:rFonts w:ascii="Times New Roman" w:hAnsi="Times New Roman"/>
                <w:b w:val="1"/>
                <w:bCs w:val="1"/>
                <w:outline w:val="0"/>
                <w:color w:val="ffffff"/>
                <w:sz w:val="18"/>
                <w:szCs w:val="18"/>
                <w:u w:color="ffffff"/>
                <w:shd w:val="nil" w:color="auto" w:fill="auto"/>
                <w:rtl w:val="0"/>
                <w:lang w:val="en-US"/>
                <w14:textFill>
                  <w14:solidFill>
                    <w14:srgbClr w14:val="FFFFFF"/>
                  </w14:solidFill>
                </w14:textFill>
              </w:rPr>
              <w:t>Jan 2026</w:t>
            </w:r>
          </w:p>
        </w:tc>
        <w:tc>
          <w:tcPr>
            <w:tcW w:type="dxa" w:w="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2e4057"/>
            <w:tcMar>
              <w:top w:type="dxa" w:w="80"/>
              <w:left w:type="dxa" w:w="80"/>
              <w:bottom w:type="dxa" w:w="80"/>
              <w:right w:type="dxa" w:w="80"/>
            </w:tcMar>
            <w:vAlign w:val="top"/>
          </w:tcPr>
          <w:p>
            <w:pPr>
              <w:pStyle w:val="Body"/>
              <w:spacing w:after="0" w:line="240" w:lineRule="auto"/>
              <w:jc w:val="center"/>
            </w:pPr>
            <w:r>
              <w:rPr>
                <w:rFonts w:ascii="Times New Roman" w:hAnsi="Times New Roman"/>
                <w:b w:val="1"/>
                <w:bCs w:val="1"/>
                <w:outline w:val="0"/>
                <w:color w:val="ffffff"/>
                <w:sz w:val="18"/>
                <w:szCs w:val="18"/>
                <w:u w:color="ffffff"/>
                <w:shd w:val="nil" w:color="auto" w:fill="auto"/>
                <w:rtl w:val="0"/>
                <w:lang w:val="en-US"/>
                <w14:textFill>
                  <w14:solidFill>
                    <w14:srgbClr w14:val="FFFFFF"/>
                  </w14:solidFill>
                </w14:textFill>
              </w:rPr>
              <w:t>Feb 2026</w:t>
            </w:r>
          </w:p>
        </w:tc>
        <w:tc>
          <w:tcPr>
            <w:tcW w:type="dxa" w:w="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2e4057"/>
            <w:tcMar>
              <w:top w:type="dxa" w:w="80"/>
              <w:left w:type="dxa" w:w="80"/>
              <w:bottom w:type="dxa" w:w="80"/>
              <w:right w:type="dxa" w:w="80"/>
            </w:tcMar>
            <w:vAlign w:val="top"/>
          </w:tcPr>
          <w:p>
            <w:pPr>
              <w:pStyle w:val="Body"/>
              <w:spacing w:after="0" w:line="240" w:lineRule="auto"/>
              <w:jc w:val="center"/>
            </w:pPr>
            <w:r>
              <w:rPr>
                <w:rFonts w:ascii="Times New Roman" w:hAnsi="Times New Roman"/>
                <w:b w:val="1"/>
                <w:bCs w:val="1"/>
                <w:outline w:val="0"/>
                <w:color w:val="ffffff"/>
                <w:sz w:val="18"/>
                <w:szCs w:val="18"/>
                <w:u w:color="ffffff"/>
                <w:shd w:val="nil" w:color="auto" w:fill="auto"/>
                <w:rtl w:val="0"/>
                <w:lang w:val="en-US"/>
                <w14:textFill>
                  <w14:solidFill>
                    <w14:srgbClr w14:val="FFFFFF"/>
                  </w14:solidFill>
                </w14:textFill>
              </w:rPr>
              <w:t>Mar 2026</w:t>
            </w:r>
          </w:p>
        </w:tc>
        <w:tc>
          <w:tcPr>
            <w:tcW w:type="dxa" w:w="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2e4057"/>
            <w:tcMar>
              <w:top w:type="dxa" w:w="80"/>
              <w:left w:type="dxa" w:w="80"/>
              <w:bottom w:type="dxa" w:w="80"/>
              <w:right w:type="dxa" w:w="80"/>
            </w:tcMar>
            <w:vAlign w:val="top"/>
          </w:tcPr>
          <w:p>
            <w:pPr>
              <w:pStyle w:val="Body"/>
              <w:spacing w:after="0" w:line="240" w:lineRule="auto"/>
              <w:jc w:val="center"/>
            </w:pPr>
            <w:r>
              <w:rPr>
                <w:rFonts w:ascii="Times New Roman" w:hAnsi="Times New Roman"/>
                <w:b w:val="1"/>
                <w:bCs w:val="1"/>
                <w:outline w:val="0"/>
                <w:color w:val="ffffff"/>
                <w:sz w:val="18"/>
                <w:szCs w:val="18"/>
                <w:u w:color="ffffff"/>
                <w:shd w:val="nil" w:color="auto" w:fill="auto"/>
                <w:rtl w:val="0"/>
                <w:lang w:val="en-US"/>
                <w14:textFill>
                  <w14:solidFill>
                    <w14:srgbClr w14:val="FFFFFF"/>
                  </w14:solidFill>
                </w14:textFill>
              </w:rPr>
              <w:t>Apr 2026</w:t>
            </w:r>
          </w:p>
        </w:tc>
        <w:tc>
          <w:tcPr>
            <w:tcW w:type="dxa" w:w="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2e4057"/>
            <w:tcMar>
              <w:top w:type="dxa" w:w="80"/>
              <w:left w:type="dxa" w:w="80"/>
              <w:bottom w:type="dxa" w:w="80"/>
              <w:right w:type="dxa" w:w="80"/>
            </w:tcMar>
            <w:vAlign w:val="top"/>
          </w:tcPr>
          <w:p>
            <w:pPr>
              <w:pStyle w:val="Body"/>
              <w:spacing w:after="0" w:line="240" w:lineRule="auto"/>
              <w:jc w:val="center"/>
            </w:pPr>
            <w:r>
              <w:rPr>
                <w:rFonts w:ascii="Times New Roman" w:hAnsi="Times New Roman"/>
                <w:b w:val="1"/>
                <w:bCs w:val="1"/>
                <w:outline w:val="0"/>
                <w:color w:val="ffffff"/>
                <w:sz w:val="18"/>
                <w:szCs w:val="18"/>
                <w:u w:color="ffffff"/>
                <w:shd w:val="nil" w:color="auto" w:fill="auto"/>
                <w:rtl w:val="0"/>
                <w:lang w:val="en-US"/>
                <w14:textFill>
                  <w14:solidFill>
                    <w14:srgbClr w14:val="FFFFFF"/>
                  </w14:solidFill>
                </w14:textFill>
              </w:rPr>
              <w:t>May 2026</w:t>
            </w:r>
          </w:p>
        </w:tc>
      </w:tr>
      <w:tr>
        <w:tblPrEx>
          <w:shd w:val="clear" w:color="auto" w:fill="ced7e7"/>
        </w:tblPrEx>
        <w:trPr>
          <w:trHeight w:val="402" w:hRule="atLeast"/>
        </w:trPr>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3fb"/>
            <w:tcMar>
              <w:top w:type="dxa" w:w="80"/>
              <w:left w:type="dxa" w:w="80"/>
              <w:bottom w:type="dxa" w:w="80"/>
              <w:right w:type="dxa" w:w="80"/>
            </w:tcMar>
            <w:vAlign w:val="top"/>
          </w:tcPr>
          <w:p>
            <w:pPr>
              <w:pStyle w:val="Body"/>
              <w:spacing w:after="0" w:line="240" w:lineRule="auto"/>
            </w:pPr>
            <w:r>
              <w:rPr>
                <w:rFonts w:ascii="Times New Roman" w:hAnsi="Times New Roman"/>
                <w:sz w:val="18"/>
                <w:szCs w:val="18"/>
                <w:shd w:val="nil" w:color="auto" w:fill="auto"/>
                <w:rtl w:val="0"/>
                <w:lang w:val="en-US"/>
              </w:rPr>
              <w:t>Literature Review &amp; Problem Formulation</w:t>
            </w:r>
          </w:p>
        </w:tc>
        <w:tc>
          <w:tcPr>
            <w:tcW w:type="dxa" w:w="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2e75b6"/>
            <w:tcMar>
              <w:top w:type="dxa" w:w="80"/>
              <w:left w:type="dxa" w:w="80"/>
              <w:bottom w:type="dxa" w:w="80"/>
              <w:right w:type="dxa" w:w="80"/>
            </w:tcMar>
            <w:vAlign w:val="top"/>
          </w:tcPr>
          <w:p>
            <w:pPr>
              <w:pStyle w:val="Body"/>
              <w:spacing w:after="0" w:line="240" w:lineRule="auto"/>
            </w:pPr>
            <w:r>
              <w:rPr>
                <w:shd w:val="nil" w:color="auto" w:fill="auto"/>
                <w:rtl w:val="0"/>
                <w:lang w:val="en-US"/>
              </w:rPr>
              <w:t> </w:t>
            </w:r>
          </w:p>
        </w:tc>
        <w:tc>
          <w:tcPr>
            <w:tcW w:type="dxa" w:w="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2e75b6"/>
            <w:tcMar>
              <w:top w:type="dxa" w:w="80"/>
              <w:left w:type="dxa" w:w="80"/>
              <w:bottom w:type="dxa" w:w="80"/>
              <w:right w:type="dxa" w:w="80"/>
            </w:tcMar>
            <w:vAlign w:val="top"/>
          </w:tcPr>
          <w:p>
            <w:pPr>
              <w:pStyle w:val="Body"/>
              <w:spacing w:after="0" w:line="240" w:lineRule="auto"/>
            </w:pPr>
            <w:r>
              <w:rPr>
                <w:shd w:val="nil" w:color="auto" w:fill="auto"/>
                <w:rtl w:val="0"/>
                <w:lang w:val="en-US"/>
              </w:rPr>
              <w:t> </w:t>
            </w:r>
          </w:p>
        </w:tc>
        <w:tc>
          <w:tcPr>
            <w:tcW w:type="dxa" w:w="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tc>
        <w:tc>
          <w:tcPr>
            <w:tcW w:type="dxa" w:w="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tc>
        <w:tc>
          <w:tcPr>
            <w:tcW w:type="dxa" w:w="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tc>
        <w:tc>
          <w:tcPr>
            <w:tcW w:type="dxa" w:w="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tc>
        <w:tc>
          <w:tcPr>
            <w:tcW w:type="dxa" w:w="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tc>
        <w:tc>
          <w:tcPr>
            <w:tcW w:type="dxa" w:w="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tc>
      </w:tr>
      <w:tr>
        <w:tblPrEx>
          <w:shd w:val="clear" w:color="auto" w:fill="ced7e7"/>
        </w:tblPrEx>
        <w:trPr>
          <w:trHeight w:val="250" w:hRule="atLeast"/>
        </w:trPr>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6e8f7"/>
            <w:tcMar>
              <w:top w:type="dxa" w:w="80"/>
              <w:left w:type="dxa" w:w="80"/>
              <w:bottom w:type="dxa" w:w="80"/>
              <w:right w:type="dxa" w:w="80"/>
            </w:tcMar>
            <w:vAlign w:val="top"/>
          </w:tcPr>
          <w:p>
            <w:pPr>
              <w:pStyle w:val="Body"/>
              <w:spacing w:after="0" w:line="240" w:lineRule="auto"/>
            </w:pPr>
            <w:r>
              <w:rPr>
                <w:rFonts w:ascii="Times New Roman" w:hAnsi="Times New Roman"/>
                <w:sz w:val="18"/>
                <w:szCs w:val="18"/>
                <w:shd w:val="nil" w:color="auto" w:fill="auto"/>
                <w:rtl w:val="0"/>
                <w:lang w:val="en-US"/>
              </w:rPr>
              <w:t>Dataset Collection &amp; Preprocessing</w:t>
            </w:r>
          </w:p>
        </w:tc>
        <w:tc>
          <w:tcPr>
            <w:tcW w:type="dxa" w:w="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tc>
        <w:tc>
          <w:tcPr>
            <w:tcW w:type="dxa" w:w="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2e75b6"/>
            <w:tcMar>
              <w:top w:type="dxa" w:w="80"/>
              <w:left w:type="dxa" w:w="80"/>
              <w:bottom w:type="dxa" w:w="80"/>
              <w:right w:type="dxa" w:w="80"/>
            </w:tcMar>
            <w:vAlign w:val="top"/>
          </w:tcPr>
          <w:p>
            <w:pPr>
              <w:pStyle w:val="Body"/>
              <w:spacing w:after="0" w:line="240" w:lineRule="auto"/>
            </w:pPr>
            <w:r>
              <w:rPr>
                <w:shd w:val="nil" w:color="auto" w:fill="auto"/>
                <w:rtl w:val="0"/>
                <w:lang w:val="en-US"/>
              </w:rPr>
              <w:t> </w:t>
            </w:r>
          </w:p>
        </w:tc>
        <w:tc>
          <w:tcPr>
            <w:tcW w:type="dxa" w:w="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2e75b6"/>
            <w:tcMar>
              <w:top w:type="dxa" w:w="80"/>
              <w:left w:type="dxa" w:w="80"/>
              <w:bottom w:type="dxa" w:w="80"/>
              <w:right w:type="dxa" w:w="80"/>
            </w:tcMar>
            <w:vAlign w:val="top"/>
          </w:tcPr>
          <w:p>
            <w:pPr>
              <w:pStyle w:val="Body"/>
              <w:spacing w:after="0" w:line="240" w:lineRule="auto"/>
            </w:pPr>
            <w:r>
              <w:rPr>
                <w:shd w:val="nil" w:color="auto" w:fill="auto"/>
                <w:rtl w:val="0"/>
                <w:lang w:val="en-US"/>
              </w:rPr>
              <w:t> </w:t>
            </w:r>
          </w:p>
        </w:tc>
        <w:tc>
          <w:tcPr>
            <w:tcW w:type="dxa" w:w="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tc>
        <w:tc>
          <w:tcPr>
            <w:tcW w:type="dxa" w:w="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tc>
        <w:tc>
          <w:tcPr>
            <w:tcW w:type="dxa" w:w="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tc>
        <w:tc>
          <w:tcPr>
            <w:tcW w:type="dxa" w:w="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tc>
        <w:tc>
          <w:tcPr>
            <w:tcW w:type="dxa" w:w="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tc>
      </w:tr>
      <w:tr>
        <w:tblPrEx>
          <w:shd w:val="clear" w:color="auto" w:fill="ced7e7"/>
        </w:tblPrEx>
        <w:trPr>
          <w:trHeight w:val="250" w:hRule="atLeast"/>
        </w:trPr>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3fb"/>
            <w:tcMar>
              <w:top w:type="dxa" w:w="80"/>
              <w:left w:type="dxa" w:w="80"/>
              <w:bottom w:type="dxa" w:w="80"/>
              <w:right w:type="dxa" w:w="80"/>
            </w:tcMar>
            <w:vAlign w:val="top"/>
          </w:tcPr>
          <w:p>
            <w:pPr>
              <w:pStyle w:val="Body"/>
              <w:spacing w:after="0" w:line="240" w:lineRule="auto"/>
            </w:pPr>
            <w:r>
              <w:rPr>
                <w:rFonts w:ascii="Times New Roman" w:hAnsi="Times New Roman"/>
                <w:sz w:val="18"/>
                <w:szCs w:val="18"/>
                <w:shd w:val="nil" w:color="auto" w:fill="auto"/>
                <w:rtl w:val="0"/>
                <w:lang w:val="en-US"/>
              </w:rPr>
              <w:t>Feature Engineering</w:t>
            </w:r>
          </w:p>
        </w:tc>
        <w:tc>
          <w:tcPr>
            <w:tcW w:type="dxa" w:w="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tc>
        <w:tc>
          <w:tcPr>
            <w:tcW w:type="dxa" w:w="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2e75b6"/>
            <w:tcMar>
              <w:top w:type="dxa" w:w="80"/>
              <w:left w:type="dxa" w:w="80"/>
              <w:bottom w:type="dxa" w:w="80"/>
              <w:right w:type="dxa" w:w="80"/>
            </w:tcMar>
            <w:vAlign w:val="top"/>
          </w:tcPr>
          <w:p>
            <w:pPr>
              <w:pStyle w:val="Body"/>
              <w:spacing w:after="0" w:line="240" w:lineRule="auto"/>
            </w:pPr>
            <w:r>
              <w:rPr>
                <w:shd w:val="nil" w:color="auto" w:fill="auto"/>
                <w:rtl w:val="0"/>
                <w:lang w:val="en-US"/>
              </w:rPr>
              <w:t> </w:t>
            </w:r>
          </w:p>
        </w:tc>
        <w:tc>
          <w:tcPr>
            <w:tcW w:type="dxa" w:w="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2e75b6"/>
            <w:tcMar>
              <w:top w:type="dxa" w:w="80"/>
              <w:left w:type="dxa" w:w="80"/>
              <w:bottom w:type="dxa" w:w="80"/>
              <w:right w:type="dxa" w:w="80"/>
            </w:tcMar>
            <w:vAlign w:val="top"/>
          </w:tcPr>
          <w:p>
            <w:pPr>
              <w:pStyle w:val="Body"/>
              <w:spacing w:after="0" w:line="240" w:lineRule="auto"/>
            </w:pPr>
            <w:r>
              <w:rPr>
                <w:shd w:val="nil" w:color="auto" w:fill="auto"/>
                <w:rtl w:val="0"/>
                <w:lang w:val="en-US"/>
              </w:rPr>
              <w:t> </w:t>
            </w:r>
          </w:p>
        </w:tc>
        <w:tc>
          <w:tcPr>
            <w:tcW w:type="dxa" w:w="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tc>
        <w:tc>
          <w:tcPr>
            <w:tcW w:type="dxa" w:w="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tc>
        <w:tc>
          <w:tcPr>
            <w:tcW w:type="dxa" w:w="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tc>
        <w:tc>
          <w:tcPr>
            <w:tcW w:type="dxa" w:w="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tc>
        <w:tc>
          <w:tcPr>
            <w:tcW w:type="dxa" w:w="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tc>
      </w:tr>
      <w:tr>
        <w:tblPrEx>
          <w:shd w:val="clear" w:color="auto" w:fill="ced7e7"/>
        </w:tblPrEx>
        <w:trPr>
          <w:trHeight w:val="250" w:hRule="atLeast"/>
        </w:trPr>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6e8f7"/>
            <w:tcMar>
              <w:top w:type="dxa" w:w="80"/>
              <w:left w:type="dxa" w:w="80"/>
              <w:bottom w:type="dxa" w:w="80"/>
              <w:right w:type="dxa" w:w="80"/>
            </w:tcMar>
            <w:vAlign w:val="top"/>
          </w:tcPr>
          <w:p>
            <w:pPr>
              <w:pStyle w:val="Body"/>
              <w:spacing w:after="0" w:line="240" w:lineRule="auto"/>
            </w:pPr>
            <w:r>
              <w:rPr>
                <w:rFonts w:ascii="Times New Roman" w:hAnsi="Times New Roman"/>
                <w:sz w:val="18"/>
                <w:szCs w:val="18"/>
                <w:shd w:val="nil" w:color="auto" w:fill="auto"/>
                <w:rtl w:val="0"/>
                <w:lang w:val="en-US"/>
              </w:rPr>
              <w:t>ML Model Development &amp; Training</w:t>
            </w:r>
          </w:p>
        </w:tc>
        <w:tc>
          <w:tcPr>
            <w:tcW w:type="dxa" w:w="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tc>
        <w:tc>
          <w:tcPr>
            <w:tcW w:type="dxa" w:w="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tc>
        <w:tc>
          <w:tcPr>
            <w:tcW w:type="dxa" w:w="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2e75b6"/>
            <w:tcMar>
              <w:top w:type="dxa" w:w="80"/>
              <w:left w:type="dxa" w:w="80"/>
              <w:bottom w:type="dxa" w:w="80"/>
              <w:right w:type="dxa" w:w="80"/>
            </w:tcMar>
            <w:vAlign w:val="top"/>
          </w:tcPr>
          <w:p>
            <w:pPr>
              <w:pStyle w:val="Body"/>
              <w:spacing w:after="0" w:line="240" w:lineRule="auto"/>
            </w:pPr>
            <w:r>
              <w:rPr>
                <w:shd w:val="nil" w:color="auto" w:fill="auto"/>
                <w:rtl w:val="0"/>
                <w:lang w:val="en-US"/>
              </w:rPr>
              <w:t> </w:t>
            </w:r>
          </w:p>
        </w:tc>
        <w:tc>
          <w:tcPr>
            <w:tcW w:type="dxa" w:w="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2e75b6"/>
            <w:tcMar>
              <w:top w:type="dxa" w:w="80"/>
              <w:left w:type="dxa" w:w="80"/>
              <w:bottom w:type="dxa" w:w="80"/>
              <w:right w:type="dxa" w:w="80"/>
            </w:tcMar>
            <w:vAlign w:val="top"/>
          </w:tcPr>
          <w:p>
            <w:pPr>
              <w:pStyle w:val="Body"/>
              <w:spacing w:after="0" w:line="240" w:lineRule="auto"/>
            </w:pPr>
            <w:r>
              <w:rPr>
                <w:shd w:val="nil" w:color="auto" w:fill="auto"/>
                <w:rtl w:val="0"/>
                <w:lang w:val="en-US"/>
              </w:rPr>
              <w:t> </w:t>
            </w:r>
          </w:p>
        </w:tc>
        <w:tc>
          <w:tcPr>
            <w:tcW w:type="dxa" w:w="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tc>
        <w:tc>
          <w:tcPr>
            <w:tcW w:type="dxa" w:w="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tc>
        <w:tc>
          <w:tcPr>
            <w:tcW w:type="dxa" w:w="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tc>
        <w:tc>
          <w:tcPr>
            <w:tcW w:type="dxa" w:w="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tc>
      </w:tr>
      <w:tr>
        <w:tblPrEx>
          <w:shd w:val="clear" w:color="auto" w:fill="ced7e7"/>
        </w:tblPrEx>
        <w:trPr>
          <w:trHeight w:val="250" w:hRule="atLeast"/>
        </w:trPr>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3fb"/>
            <w:tcMar>
              <w:top w:type="dxa" w:w="80"/>
              <w:left w:type="dxa" w:w="80"/>
              <w:bottom w:type="dxa" w:w="80"/>
              <w:right w:type="dxa" w:w="80"/>
            </w:tcMar>
            <w:vAlign w:val="top"/>
          </w:tcPr>
          <w:p>
            <w:pPr>
              <w:pStyle w:val="Body"/>
              <w:spacing w:after="0" w:line="240" w:lineRule="auto"/>
            </w:pPr>
            <w:r>
              <w:rPr>
                <w:rFonts w:ascii="Times New Roman" w:hAnsi="Times New Roman"/>
                <w:sz w:val="18"/>
                <w:szCs w:val="18"/>
                <w:shd w:val="nil" w:color="auto" w:fill="auto"/>
                <w:rtl w:val="0"/>
                <w:lang w:val="en-US"/>
              </w:rPr>
              <w:t>ACMG Engine Implementation</w:t>
            </w:r>
          </w:p>
        </w:tc>
        <w:tc>
          <w:tcPr>
            <w:tcW w:type="dxa" w:w="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tc>
        <w:tc>
          <w:tcPr>
            <w:tcW w:type="dxa" w:w="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tc>
        <w:tc>
          <w:tcPr>
            <w:tcW w:type="dxa" w:w="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tc>
        <w:tc>
          <w:tcPr>
            <w:tcW w:type="dxa" w:w="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2e75b6"/>
            <w:tcMar>
              <w:top w:type="dxa" w:w="80"/>
              <w:left w:type="dxa" w:w="80"/>
              <w:bottom w:type="dxa" w:w="80"/>
              <w:right w:type="dxa" w:w="80"/>
            </w:tcMar>
            <w:vAlign w:val="top"/>
          </w:tcPr>
          <w:p>
            <w:pPr>
              <w:pStyle w:val="Body"/>
              <w:spacing w:after="0" w:line="240" w:lineRule="auto"/>
            </w:pPr>
            <w:r>
              <w:rPr>
                <w:shd w:val="nil" w:color="auto" w:fill="auto"/>
                <w:rtl w:val="0"/>
                <w:lang w:val="en-US"/>
              </w:rPr>
              <w:t> </w:t>
            </w:r>
          </w:p>
        </w:tc>
        <w:tc>
          <w:tcPr>
            <w:tcW w:type="dxa" w:w="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2e75b6"/>
            <w:tcMar>
              <w:top w:type="dxa" w:w="80"/>
              <w:left w:type="dxa" w:w="80"/>
              <w:bottom w:type="dxa" w:w="80"/>
              <w:right w:type="dxa" w:w="80"/>
            </w:tcMar>
            <w:vAlign w:val="top"/>
          </w:tcPr>
          <w:p>
            <w:pPr>
              <w:pStyle w:val="Body"/>
              <w:spacing w:after="0" w:line="240" w:lineRule="auto"/>
            </w:pPr>
            <w:r>
              <w:rPr>
                <w:shd w:val="nil" w:color="auto" w:fill="auto"/>
                <w:rtl w:val="0"/>
                <w:lang w:val="en-US"/>
              </w:rPr>
              <w:t> </w:t>
            </w:r>
          </w:p>
        </w:tc>
        <w:tc>
          <w:tcPr>
            <w:tcW w:type="dxa" w:w="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tc>
        <w:tc>
          <w:tcPr>
            <w:tcW w:type="dxa" w:w="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tc>
        <w:tc>
          <w:tcPr>
            <w:tcW w:type="dxa" w:w="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tc>
      </w:tr>
      <w:tr>
        <w:tblPrEx>
          <w:shd w:val="clear" w:color="auto" w:fill="ced7e7"/>
        </w:tblPrEx>
        <w:trPr>
          <w:trHeight w:val="250" w:hRule="atLeast"/>
        </w:trPr>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6e8f7"/>
            <w:tcMar>
              <w:top w:type="dxa" w:w="80"/>
              <w:left w:type="dxa" w:w="80"/>
              <w:bottom w:type="dxa" w:w="80"/>
              <w:right w:type="dxa" w:w="80"/>
            </w:tcMar>
            <w:vAlign w:val="top"/>
          </w:tcPr>
          <w:p>
            <w:pPr>
              <w:pStyle w:val="Body"/>
              <w:spacing w:after="0" w:line="240" w:lineRule="auto"/>
            </w:pPr>
            <w:r>
              <w:rPr>
                <w:rFonts w:ascii="Times New Roman" w:hAnsi="Times New Roman"/>
                <w:sz w:val="18"/>
                <w:szCs w:val="18"/>
                <w:shd w:val="nil" w:color="auto" w:fill="auto"/>
                <w:rtl w:val="0"/>
                <w:lang w:val="en-US"/>
              </w:rPr>
              <w:t>SHAP Explainer Integration</w:t>
            </w:r>
          </w:p>
        </w:tc>
        <w:tc>
          <w:tcPr>
            <w:tcW w:type="dxa" w:w="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tc>
        <w:tc>
          <w:tcPr>
            <w:tcW w:type="dxa" w:w="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tc>
        <w:tc>
          <w:tcPr>
            <w:tcW w:type="dxa" w:w="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tc>
        <w:tc>
          <w:tcPr>
            <w:tcW w:type="dxa" w:w="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tc>
        <w:tc>
          <w:tcPr>
            <w:tcW w:type="dxa" w:w="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2e75b6"/>
            <w:tcMar>
              <w:top w:type="dxa" w:w="80"/>
              <w:left w:type="dxa" w:w="80"/>
              <w:bottom w:type="dxa" w:w="80"/>
              <w:right w:type="dxa" w:w="80"/>
            </w:tcMar>
            <w:vAlign w:val="top"/>
          </w:tcPr>
          <w:p>
            <w:pPr>
              <w:pStyle w:val="Body"/>
              <w:spacing w:after="0" w:line="240" w:lineRule="auto"/>
            </w:pPr>
            <w:r>
              <w:rPr>
                <w:shd w:val="nil" w:color="auto" w:fill="auto"/>
                <w:rtl w:val="0"/>
                <w:lang w:val="en-US"/>
              </w:rPr>
              <w:t> </w:t>
            </w:r>
          </w:p>
        </w:tc>
        <w:tc>
          <w:tcPr>
            <w:tcW w:type="dxa" w:w="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tc>
        <w:tc>
          <w:tcPr>
            <w:tcW w:type="dxa" w:w="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tc>
        <w:tc>
          <w:tcPr>
            <w:tcW w:type="dxa" w:w="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tc>
      </w:tr>
      <w:tr>
        <w:tblPrEx>
          <w:shd w:val="clear" w:color="auto" w:fill="ced7e7"/>
        </w:tblPrEx>
        <w:trPr>
          <w:trHeight w:val="250" w:hRule="atLeast"/>
        </w:trPr>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3fb"/>
            <w:tcMar>
              <w:top w:type="dxa" w:w="80"/>
              <w:left w:type="dxa" w:w="80"/>
              <w:bottom w:type="dxa" w:w="80"/>
              <w:right w:type="dxa" w:w="80"/>
            </w:tcMar>
            <w:vAlign w:val="top"/>
          </w:tcPr>
          <w:p>
            <w:pPr>
              <w:pStyle w:val="Body"/>
              <w:spacing w:after="0" w:line="240" w:lineRule="auto"/>
            </w:pPr>
            <w:r>
              <w:rPr>
                <w:rFonts w:ascii="Times New Roman" w:hAnsi="Times New Roman"/>
                <w:sz w:val="18"/>
                <w:szCs w:val="18"/>
                <w:shd w:val="nil" w:color="auto" w:fill="auto"/>
                <w:rtl w:val="0"/>
                <w:lang w:val="en-US"/>
              </w:rPr>
              <w:t>RAG Pipeline Development</w:t>
            </w:r>
          </w:p>
        </w:tc>
        <w:tc>
          <w:tcPr>
            <w:tcW w:type="dxa" w:w="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tc>
        <w:tc>
          <w:tcPr>
            <w:tcW w:type="dxa" w:w="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tc>
        <w:tc>
          <w:tcPr>
            <w:tcW w:type="dxa" w:w="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tc>
        <w:tc>
          <w:tcPr>
            <w:tcW w:type="dxa" w:w="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tc>
        <w:tc>
          <w:tcPr>
            <w:tcW w:type="dxa" w:w="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2e75b6"/>
            <w:tcMar>
              <w:top w:type="dxa" w:w="80"/>
              <w:left w:type="dxa" w:w="80"/>
              <w:bottom w:type="dxa" w:w="80"/>
              <w:right w:type="dxa" w:w="80"/>
            </w:tcMar>
            <w:vAlign w:val="top"/>
          </w:tcPr>
          <w:p>
            <w:pPr>
              <w:pStyle w:val="Body"/>
              <w:spacing w:after="0" w:line="240" w:lineRule="auto"/>
            </w:pPr>
            <w:r>
              <w:rPr>
                <w:shd w:val="nil" w:color="auto" w:fill="auto"/>
                <w:rtl w:val="0"/>
                <w:lang w:val="en-US"/>
              </w:rPr>
              <w:t> </w:t>
            </w:r>
          </w:p>
        </w:tc>
        <w:tc>
          <w:tcPr>
            <w:tcW w:type="dxa" w:w="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2e75b6"/>
            <w:tcMar>
              <w:top w:type="dxa" w:w="80"/>
              <w:left w:type="dxa" w:w="80"/>
              <w:bottom w:type="dxa" w:w="80"/>
              <w:right w:type="dxa" w:w="80"/>
            </w:tcMar>
            <w:vAlign w:val="top"/>
          </w:tcPr>
          <w:p>
            <w:pPr>
              <w:pStyle w:val="Body"/>
              <w:spacing w:after="0" w:line="240" w:lineRule="auto"/>
            </w:pPr>
            <w:r>
              <w:rPr>
                <w:shd w:val="nil" w:color="auto" w:fill="auto"/>
                <w:rtl w:val="0"/>
                <w:lang w:val="en-US"/>
              </w:rPr>
              <w:t> </w:t>
            </w:r>
          </w:p>
        </w:tc>
        <w:tc>
          <w:tcPr>
            <w:tcW w:type="dxa" w:w="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tc>
        <w:tc>
          <w:tcPr>
            <w:tcW w:type="dxa" w:w="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tc>
      </w:tr>
      <w:tr>
        <w:tblPrEx>
          <w:shd w:val="clear" w:color="auto" w:fill="ced7e7"/>
        </w:tblPrEx>
        <w:trPr>
          <w:trHeight w:val="250" w:hRule="atLeast"/>
        </w:trPr>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6e8f7"/>
            <w:tcMar>
              <w:top w:type="dxa" w:w="80"/>
              <w:left w:type="dxa" w:w="80"/>
              <w:bottom w:type="dxa" w:w="80"/>
              <w:right w:type="dxa" w:w="80"/>
            </w:tcMar>
            <w:vAlign w:val="top"/>
          </w:tcPr>
          <w:p>
            <w:pPr>
              <w:pStyle w:val="Body"/>
              <w:spacing w:after="0" w:line="240" w:lineRule="auto"/>
            </w:pPr>
            <w:r>
              <w:rPr>
                <w:rFonts w:ascii="Times New Roman" w:hAnsi="Times New Roman"/>
                <w:sz w:val="18"/>
                <w:szCs w:val="18"/>
                <w:shd w:val="nil" w:color="auto" w:fill="auto"/>
                <w:rtl w:val="0"/>
                <w:lang w:val="en-US"/>
              </w:rPr>
              <w:t>Frontend Development</w:t>
            </w:r>
          </w:p>
        </w:tc>
        <w:tc>
          <w:tcPr>
            <w:tcW w:type="dxa" w:w="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tc>
        <w:tc>
          <w:tcPr>
            <w:tcW w:type="dxa" w:w="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tc>
        <w:tc>
          <w:tcPr>
            <w:tcW w:type="dxa" w:w="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tc>
        <w:tc>
          <w:tcPr>
            <w:tcW w:type="dxa" w:w="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tc>
        <w:tc>
          <w:tcPr>
            <w:tcW w:type="dxa" w:w="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tc>
        <w:tc>
          <w:tcPr>
            <w:tcW w:type="dxa" w:w="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2e75b6"/>
            <w:tcMar>
              <w:top w:type="dxa" w:w="80"/>
              <w:left w:type="dxa" w:w="80"/>
              <w:bottom w:type="dxa" w:w="80"/>
              <w:right w:type="dxa" w:w="80"/>
            </w:tcMar>
            <w:vAlign w:val="top"/>
          </w:tcPr>
          <w:p>
            <w:pPr>
              <w:pStyle w:val="Body"/>
              <w:spacing w:after="0" w:line="240" w:lineRule="auto"/>
            </w:pPr>
            <w:r>
              <w:rPr>
                <w:shd w:val="nil" w:color="auto" w:fill="auto"/>
                <w:rtl w:val="0"/>
                <w:lang w:val="en-US"/>
              </w:rPr>
              <w:t> </w:t>
            </w:r>
          </w:p>
        </w:tc>
        <w:tc>
          <w:tcPr>
            <w:tcW w:type="dxa" w:w="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2e75b6"/>
            <w:tcMar>
              <w:top w:type="dxa" w:w="80"/>
              <w:left w:type="dxa" w:w="80"/>
              <w:bottom w:type="dxa" w:w="80"/>
              <w:right w:type="dxa" w:w="80"/>
            </w:tcMar>
            <w:vAlign w:val="top"/>
          </w:tcPr>
          <w:p>
            <w:pPr>
              <w:pStyle w:val="Body"/>
              <w:spacing w:after="0" w:line="240" w:lineRule="auto"/>
            </w:pPr>
            <w:r>
              <w:rPr>
                <w:shd w:val="nil" w:color="auto" w:fill="auto"/>
                <w:rtl w:val="0"/>
                <w:lang w:val="en-US"/>
              </w:rPr>
              <w:t> </w:t>
            </w:r>
          </w:p>
        </w:tc>
        <w:tc>
          <w:tcPr>
            <w:tcW w:type="dxa" w:w="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tc>
      </w:tr>
      <w:tr>
        <w:tblPrEx>
          <w:shd w:val="clear" w:color="auto" w:fill="ced7e7"/>
        </w:tblPrEx>
        <w:trPr>
          <w:trHeight w:val="250" w:hRule="atLeast"/>
        </w:trPr>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3fb"/>
            <w:tcMar>
              <w:top w:type="dxa" w:w="80"/>
              <w:left w:type="dxa" w:w="80"/>
              <w:bottom w:type="dxa" w:w="80"/>
              <w:right w:type="dxa" w:w="80"/>
            </w:tcMar>
            <w:vAlign w:val="top"/>
          </w:tcPr>
          <w:p>
            <w:pPr>
              <w:pStyle w:val="Body"/>
              <w:spacing w:after="0" w:line="240" w:lineRule="auto"/>
            </w:pPr>
            <w:r>
              <w:rPr>
                <w:rFonts w:ascii="Times New Roman" w:hAnsi="Times New Roman"/>
                <w:sz w:val="18"/>
                <w:szCs w:val="18"/>
                <w:shd w:val="nil" w:color="auto" w:fill="auto"/>
                <w:rtl w:val="0"/>
                <w:lang w:val="en-US"/>
              </w:rPr>
              <w:t>System Integration &amp; Testing</w:t>
            </w:r>
          </w:p>
        </w:tc>
        <w:tc>
          <w:tcPr>
            <w:tcW w:type="dxa" w:w="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tc>
        <w:tc>
          <w:tcPr>
            <w:tcW w:type="dxa" w:w="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tc>
        <w:tc>
          <w:tcPr>
            <w:tcW w:type="dxa" w:w="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tc>
        <w:tc>
          <w:tcPr>
            <w:tcW w:type="dxa" w:w="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tc>
        <w:tc>
          <w:tcPr>
            <w:tcW w:type="dxa" w:w="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tc>
        <w:tc>
          <w:tcPr>
            <w:tcW w:type="dxa" w:w="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tc>
        <w:tc>
          <w:tcPr>
            <w:tcW w:type="dxa" w:w="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2e75b6"/>
            <w:tcMar>
              <w:top w:type="dxa" w:w="80"/>
              <w:left w:type="dxa" w:w="80"/>
              <w:bottom w:type="dxa" w:w="80"/>
              <w:right w:type="dxa" w:w="80"/>
            </w:tcMar>
            <w:vAlign w:val="top"/>
          </w:tcPr>
          <w:p>
            <w:pPr>
              <w:pStyle w:val="Body"/>
              <w:spacing w:after="0" w:line="240" w:lineRule="auto"/>
            </w:pPr>
            <w:r>
              <w:rPr>
                <w:shd w:val="nil" w:color="auto" w:fill="auto"/>
                <w:rtl w:val="0"/>
                <w:lang w:val="en-US"/>
              </w:rPr>
              <w:t> </w:t>
            </w:r>
          </w:p>
        </w:tc>
        <w:tc>
          <w:tcPr>
            <w:tcW w:type="dxa" w:w="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2e75b6"/>
            <w:tcMar>
              <w:top w:type="dxa" w:w="80"/>
              <w:left w:type="dxa" w:w="80"/>
              <w:bottom w:type="dxa" w:w="80"/>
              <w:right w:type="dxa" w:w="80"/>
            </w:tcMar>
            <w:vAlign w:val="top"/>
          </w:tcPr>
          <w:p>
            <w:pPr>
              <w:pStyle w:val="Body"/>
              <w:spacing w:after="0" w:line="240" w:lineRule="auto"/>
            </w:pPr>
            <w:r>
              <w:rPr>
                <w:shd w:val="nil" w:color="auto" w:fill="auto"/>
                <w:rtl w:val="0"/>
                <w:lang w:val="en-US"/>
              </w:rPr>
              <w:t> </w:t>
            </w:r>
          </w:p>
        </w:tc>
      </w:tr>
      <w:tr>
        <w:tblPrEx>
          <w:shd w:val="clear" w:color="auto" w:fill="ced7e7"/>
        </w:tblPrEx>
        <w:trPr>
          <w:trHeight w:val="250" w:hRule="atLeast"/>
        </w:trPr>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6e8f7"/>
            <w:tcMar>
              <w:top w:type="dxa" w:w="80"/>
              <w:left w:type="dxa" w:w="80"/>
              <w:bottom w:type="dxa" w:w="80"/>
              <w:right w:type="dxa" w:w="80"/>
            </w:tcMar>
            <w:vAlign w:val="top"/>
          </w:tcPr>
          <w:p>
            <w:pPr>
              <w:pStyle w:val="Body"/>
              <w:spacing w:after="0" w:line="240" w:lineRule="auto"/>
            </w:pPr>
            <w:r>
              <w:rPr>
                <w:rFonts w:ascii="Times New Roman" w:hAnsi="Times New Roman"/>
                <w:sz w:val="18"/>
                <w:szCs w:val="18"/>
                <w:shd w:val="nil" w:color="auto" w:fill="auto"/>
                <w:rtl w:val="0"/>
                <w:lang w:val="en-US"/>
              </w:rPr>
              <w:t>Report Writing &amp; Finalization</w:t>
            </w:r>
          </w:p>
        </w:tc>
        <w:tc>
          <w:tcPr>
            <w:tcW w:type="dxa" w:w="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tc>
        <w:tc>
          <w:tcPr>
            <w:tcW w:type="dxa" w:w="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tc>
        <w:tc>
          <w:tcPr>
            <w:tcW w:type="dxa" w:w="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tc>
        <w:tc>
          <w:tcPr>
            <w:tcW w:type="dxa" w:w="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tc>
        <w:tc>
          <w:tcPr>
            <w:tcW w:type="dxa" w:w="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tc>
        <w:tc>
          <w:tcPr>
            <w:tcW w:type="dxa" w:w="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tc>
        <w:tc>
          <w:tcPr>
            <w:tcW w:type="dxa" w:w="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tc>
        <w:tc>
          <w:tcPr>
            <w:tcW w:type="dxa" w:w="7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2e75b6"/>
            <w:tcMar>
              <w:top w:type="dxa" w:w="80"/>
              <w:left w:type="dxa" w:w="80"/>
              <w:bottom w:type="dxa" w:w="80"/>
              <w:right w:type="dxa" w:w="80"/>
            </w:tcMar>
            <w:vAlign w:val="top"/>
          </w:tcPr>
          <w:p>
            <w:pPr>
              <w:pStyle w:val="Body"/>
              <w:spacing w:after="0" w:line="240" w:lineRule="auto"/>
            </w:pPr>
            <w:r>
              <w:rPr>
                <w:shd w:val="nil" w:color="auto" w:fill="auto"/>
                <w:rtl w:val="0"/>
                <w:lang w:val="en-US"/>
              </w:rPr>
              <w:t> </w:t>
            </w:r>
          </w:p>
        </w:tc>
      </w:tr>
    </w:tbl>
    <w:p>
      <w:pPr>
        <w:pStyle w:val="Body"/>
        <w:widowControl w:val="0"/>
        <w:spacing w:line="240" w:lineRule="auto"/>
        <w:jc w:val="center"/>
      </w:pPr>
    </w:p>
    <w:p>
      <w:pPr>
        <w:pStyle w:val="Body"/>
      </w:pPr>
      <w:r>
        <w:rPr>
          <w:rFonts w:ascii="Arial Unicode MS" w:cs="Arial Unicode MS" w:hAnsi="Arial Unicode MS" w:eastAsia="Arial Unicode MS"/>
          <w:b w:val="0"/>
          <w:bCs w:val="0"/>
          <w:i w:val="0"/>
          <w:iCs w:val="0"/>
        </w:rPr>
        <w:br w:type="page"/>
      </w:r>
    </w:p>
    <w:p>
      <w:pPr>
        <w:pStyle w:val="Body"/>
        <w:spacing w:before="360" w:after="0"/>
        <w:jc w:val="right"/>
      </w:pPr>
      <w:r>
        <w:rPr>
          <w:rFonts w:ascii="Times New Roman" w:hAnsi="Times New Roman"/>
          <w:b w:val="1"/>
          <w:bCs w:val="1"/>
          <w:i w:val="1"/>
          <w:iCs w:val="1"/>
          <w:sz w:val="28"/>
          <w:szCs w:val="28"/>
          <w:rtl w:val="0"/>
        </w:rPr>
        <w:t>Chapter 2</w:t>
      </w:r>
    </w:p>
    <w:p>
      <w:pPr>
        <w:pStyle w:val="Body"/>
        <w:pBdr>
          <w:top w:val="nil"/>
          <w:left w:val="nil"/>
          <w:bottom w:val="single" w:color="aaaaaa" w:sz="6" w:space="0" w:shadow="0" w:frame="0"/>
          <w:right w:val="nil"/>
        </w:pBdr>
        <w:spacing w:before="40" w:after="280"/>
        <w:jc w:val="right"/>
      </w:pPr>
      <w:r>
        <w:rPr>
          <w:rFonts w:ascii="Times New Roman" w:hAnsi="Times New Roman"/>
          <w:b w:val="1"/>
          <w:bCs w:val="1"/>
          <w:sz w:val="28"/>
          <w:szCs w:val="28"/>
          <w:rtl w:val="0"/>
          <w:lang w:val="en-US"/>
        </w:rPr>
        <w:t>LITERATURE REVIEW WITH GAP IN THE LITERATURE</w:t>
      </w:r>
    </w:p>
    <w:p>
      <w:pPr>
        <w:pStyle w:val="Body"/>
        <w:spacing w:after="120" w:line="360" w:lineRule="auto"/>
        <w:jc w:val="both"/>
      </w:pPr>
      <w:r>
        <w:rPr>
          <w:rFonts w:ascii="Times New Roman" w:hAnsi="Times New Roman"/>
          <w:sz w:val="24"/>
          <w:szCs w:val="24"/>
          <w:rtl w:val="0"/>
          <w:lang w:val="en-US"/>
        </w:rPr>
        <w:t>This chapter reviews existing research in the areas of genetic variant classification, machine learning for genomics, ACMG/AMP guidelines automation, explainable AI in clinical genomics, and Retrieval-Augmented Generation for medical knowledge synthesis. The review identifies key contributions and highlights the gaps that motivate the proposed system.</w:t>
      </w:r>
    </w:p>
    <w:p>
      <w:pPr>
        <w:pStyle w:val="Body"/>
        <w:spacing w:before="240" w:after="120"/>
      </w:pPr>
      <w:r>
        <w:rPr>
          <w:rFonts w:ascii="Times New Roman" w:hAnsi="Times New Roman"/>
          <w:b w:val="1"/>
          <w:bCs w:val="1"/>
          <w:sz w:val="24"/>
          <w:szCs w:val="24"/>
          <w:rtl w:val="0"/>
          <w:lang w:val="en-US"/>
        </w:rPr>
        <w:t>2.1 Variant Classification and ACMG/AMP Guidelines</w:t>
      </w:r>
    </w:p>
    <w:p>
      <w:pPr>
        <w:pStyle w:val="Body"/>
        <w:spacing w:after="120" w:line="360" w:lineRule="auto"/>
        <w:jc w:val="both"/>
      </w:pPr>
      <w:r>
        <w:rPr>
          <w:rFonts w:ascii="Times New Roman" w:hAnsi="Times New Roman"/>
          <w:sz w:val="24"/>
          <w:szCs w:val="24"/>
          <w:rtl w:val="0"/>
          <w:lang w:val="en-US"/>
        </w:rPr>
        <w:t>Richards et al. (2015) published the ACMG/AMP Standards and Guidelines for the Interpretation of Sequence Variants, which established the five-tier classification system (Pathogenic, Likely Pathogenic, VUS, Likely Benign, Benign) and defined 28 evidence criteria grouped into very strong, strong, moderate, and supporting categories. These guidelines represented a landmark standardization effort, but their manual application remains subjective and time-consuming, particularly for the integration of population frequency data and computational evidence.</w:t>
      </w:r>
    </w:p>
    <w:p>
      <w:pPr>
        <w:pStyle w:val="Body"/>
        <w:spacing w:after="120" w:line="360" w:lineRule="auto"/>
        <w:jc w:val="both"/>
      </w:pPr>
      <w:r>
        <w:rPr>
          <w:rFonts w:ascii="Times New Roman" w:hAnsi="Times New Roman"/>
          <w:sz w:val="24"/>
          <w:szCs w:val="24"/>
          <w:rtl w:val="0"/>
          <w:lang w:val="en-US"/>
        </w:rPr>
        <w:t>Tavtigian et al. (2018) extended the ACMG/AMP framework by proposing a Bayesian points-based scoring model that assigns numerical weights to each criterion (e.g., PVS1 = 8 points, PS = 4 points, PM = 2 points, PP = 1 point, and their benign equivalents). This scoring model eliminates ambiguity in combining evidence and enables unambiguous numerical thresholds (</w:t>
      </w:r>
      <w:r>
        <w:rPr>
          <w:rFonts w:ascii="Times New Roman" w:hAnsi="Times New Roman" w:hint="default"/>
          <w:sz w:val="24"/>
          <w:szCs w:val="24"/>
          <w:rtl w:val="0"/>
          <w:lang w:val="en-US"/>
        </w:rPr>
        <w:t>≥</w:t>
      </w:r>
      <w:r>
        <w:rPr>
          <w:rFonts w:ascii="Times New Roman" w:hAnsi="Times New Roman"/>
          <w:sz w:val="24"/>
          <w:szCs w:val="24"/>
          <w:rtl w:val="0"/>
          <w:lang w:val="nl-NL"/>
        </w:rPr>
        <w:t>10 = Pathogenic, 6</w:t>
      </w:r>
      <w:r>
        <w:rPr>
          <w:rFonts w:ascii="Times New Roman" w:hAnsi="Times New Roman" w:hint="default"/>
          <w:sz w:val="24"/>
          <w:szCs w:val="24"/>
          <w:rtl w:val="0"/>
          <w:lang w:val="en-US"/>
        </w:rPr>
        <w:t>–</w:t>
      </w:r>
      <w:r>
        <w:rPr>
          <w:rFonts w:ascii="Times New Roman" w:hAnsi="Times New Roman"/>
          <w:sz w:val="24"/>
          <w:szCs w:val="24"/>
          <w:rtl w:val="0"/>
          <w:lang w:val="en-US"/>
        </w:rPr>
        <w:t>9 = Likely Pathogenic, 1</w:t>
      </w:r>
      <w:r>
        <w:rPr>
          <w:rFonts w:ascii="Times New Roman" w:hAnsi="Times New Roman" w:hint="default"/>
          <w:sz w:val="24"/>
          <w:szCs w:val="24"/>
          <w:rtl w:val="0"/>
          <w:lang w:val="en-US"/>
        </w:rPr>
        <w:t>–</w:t>
      </w:r>
      <w:r>
        <w:rPr>
          <w:rFonts w:ascii="Times New Roman" w:hAnsi="Times New Roman"/>
          <w:sz w:val="24"/>
          <w:szCs w:val="24"/>
          <w:rtl w:val="0"/>
          <w:lang w:val="en-US"/>
        </w:rPr>
        <w:t xml:space="preserve">5 = VUS, -1 to -6 = Likely Benign, </w:t>
      </w:r>
      <w:r>
        <w:rPr>
          <w:rFonts w:ascii="Times New Roman" w:hAnsi="Times New Roman" w:hint="default"/>
          <w:sz w:val="24"/>
          <w:szCs w:val="24"/>
          <w:rtl w:val="0"/>
          <w:lang w:val="en-US"/>
        </w:rPr>
        <w:t>≤</w:t>
      </w:r>
      <w:r>
        <w:rPr>
          <w:rFonts w:ascii="Times New Roman" w:hAnsi="Times New Roman"/>
          <w:sz w:val="24"/>
          <w:szCs w:val="24"/>
          <w:rtl w:val="0"/>
          <w:lang w:val="en-US"/>
        </w:rPr>
        <w:t>-7 or BA1 = Benign). Our system directly implements this points model.</w:t>
      </w:r>
    </w:p>
    <w:p>
      <w:pPr>
        <w:pStyle w:val="Body"/>
        <w:spacing w:before="240" w:after="120"/>
      </w:pPr>
      <w:r>
        <w:rPr>
          <w:rFonts w:ascii="Times New Roman" w:hAnsi="Times New Roman"/>
          <w:b w:val="1"/>
          <w:bCs w:val="1"/>
          <w:sz w:val="24"/>
          <w:szCs w:val="24"/>
          <w:rtl w:val="0"/>
          <w:lang w:val="en-US"/>
        </w:rPr>
        <w:t>2.2 Machine Learning for Variant Pathogenicity Prediction</w:t>
      </w:r>
    </w:p>
    <w:p>
      <w:pPr>
        <w:pStyle w:val="Body"/>
        <w:spacing w:after="120" w:line="360" w:lineRule="auto"/>
        <w:jc w:val="both"/>
      </w:pPr>
      <w:r>
        <w:rPr>
          <w:rFonts w:ascii="Times New Roman" w:hAnsi="Times New Roman"/>
          <w:sz w:val="24"/>
          <w:szCs w:val="24"/>
          <w:rtl w:val="0"/>
          <w:lang w:val="en-US"/>
        </w:rPr>
        <w:t>Kircher et al. (2014) introduced CADD (Combined Annotation-Dependent Depletion), a framework that integrates over 60 genomic annotations into a single deleteriousness score using a support vector machine trained to distinguish simulated de novo variants from those that have passed evolutionary selection. CADD has become a widely used computational tool but produces a continuous score rather than an ACMG-tier classification and lacks gene-specific disease mechanism knowledge.</w:t>
      </w:r>
    </w:p>
    <w:p>
      <w:pPr>
        <w:pStyle w:val="Body"/>
        <w:spacing w:after="120" w:line="360" w:lineRule="auto"/>
        <w:jc w:val="both"/>
      </w:pPr>
      <w:r>
        <w:rPr>
          <w:rFonts w:ascii="Times New Roman" w:hAnsi="Times New Roman"/>
          <w:sz w:val="24"/>
          <w:szCs w:val="24"/>
          <w:rtl w:val="0"/>
          <w:lang w:val="en-US"/>
        </w:rPr>
        <w:t xml:space="preserve">Ioannidis et al. (2016) developed REVEL (Rare Exome Variant Ensemble Learner), an ensemble method that combines scores from thirteen component pathogenicity predictors (including MutPred, FATHMM, PolyPhen-2, SIFT, and VEST) into a single meta-score. REVEL demonstrated improved prediction accuracy over individual tools for rare missense variants, but is restricted to missense variants and does not handle loss-of-function or splice variants </w:t>
      </w:r>
      <w:r>
        <w:rPr>
          <w:rFonts w:ascii="Times New Roman" w:hAnsi="Times New Roman" w:hint="default"/>
          <w:sz w:val="24"/>
          <w:szCs w:val="24"/>
          <w:rtl w:val="0"/>
          <w:lang w:val="en-US"/>
        </w:rPr>
        <w:t xml:space="preserve">— </w:t>
      </w:r>
      <w:r>
        <w:rPr>
          <w:rFonts w:ascii="Times New Roman" w:hAnsi="Times New Roman"/>
          <w:sz w:val="24"/>
          <w:szCs w:val="24"/>
          <w:rtl w:val="0"/>
          <w:lang w:val="en-US"/>
        </w:rPr>
        <w:t>a critical limitation for epilepsy genes where frameshift, nonsense, and splice variants are among the most pathogenic classes.</w:t>
      </w:r>
    </w:p>
    <w:p>
      <w:pPr>
        <w:pStyle w:val="Body"/>
        <w:spacing w:after="120" w:line="360" w:lineRule="auto"/>
        <w:jc w:val="both"/>
      </w:pPr>
      <w:r>
        <w:rPr>
          <w:rFonts w:ascii="Times New Roman" w:hAnsi="Times New Roman"/>
          <w:sz w:val="24"/>
          <w:szCs w:val="24"/>
          <w:rtl w:val="0"/>
          <w:lang w:val="en-US"/>
        </w:rPr>
        <w:t>Landrum et al. (2018) described ClinVar, NCBI's curated database of variant-disease relationships. ClinVar provides aggregated clinical classifications from submitting laboratories worldwide and is an essential evidence source for PP5 and BP6 ACMG criteria. However, a substantial fraction of epilepsy gene variants remain unclassified or classified as VUS in ClinVar, limiting its utility as a standalone classification tool.</w:t>
      </w:r>
    </w:p>
    <w:p>
      <w:pPr>
        <w:pStyle w:val="Body"/>
        <w:spacing w:after="120" w:line="360" w:lineRule="auto"/>
        <w:jc w:val="both"/>
      </w:pPr>
      <w:r>
        <w:rPr>
          <w:rFonts w:ascii="Times New Roman" w:hAnsi="Times New Roman"/>
          <w:sz w:val="24"/>
          <w:szCs w:val="24"/>
          <w:rtl w:val="0"/>
          <w:lang w:val="en-US"/>
        </w:rPr>
        <w:t>Chen and Guestrin (2016) introduced XGBoost, a gradient boosting framework that has demonstrated state-of-the-art performance on structured tabular data across diverse domains. Its ability to handle missing values, mixed feature types, and regularisation through L1/L2 penalties makes it particularly suitable for genomic variant classification where features are heterogeneous and training data is limited.</w:t>
      </w:r>
    </w:p>
    <w:p>
      <w:pPr>
        <w:pStyle w:val="Body"/>
        <w:spacing w:before="240" w:after="120"/>
      </w:pPr>
      <w:r>
        <w:rPr>
          <w:rFonts w:ascii="Times New Roman" w:hAnsi="Times New Roman"/>
          <w:b w:val="1"/>
          <w:bCs w:val="1"/>
          <w:sz w:val="24"/>
          <w:szCs w:val="24"/>
          <w:rtl w:val="0"/>
          <w:lang w:val="en-US"/>
        </w:rPr>
        <w:t>2.3 Explainability in Clinical AI</w:t>
      </w:r>
    </w:p>
    <w:p>
      <w:pPr>
        <w:pStyle w:val="Body"/>
        <w:spacing w:after="120" w:line="360" w:lineRule="auto"/>
        <w:jc w:val="both"/>
      </w:pPr>
      <w:r>
        <w:rPr>
          <w:rFonts w:ascii="Times New Roman" w:hAnsi="Times New Roman"/>
          <w:sz w:val="24"/>
          <w:szCs w:val="24"/>
          <w:rtl w:val="0"/>
          <w:lang w:val="en-US"/>
        </w:rPr>
        <w:t>Lundberg and Lee (2017) introduced SHAP (SHapley Additive exPlanations), a unified framework for interpreting machine learning model predictions based on Shapley values from cooperative game theory. SHAP satisfies consistency and local accuracy properties that make it theoretically well-grounded. The TreeSHAP variant enables exact, polynomial-time computation of SHAP values for tree-based models such as XGBoost, making it practical for per-prediction explanations in clinical settings. In our system, TreeSHAP attributions are mapped to ACMG PP3/BP4 criteria when the top contributor meets a 15% contribution threshold in the pathogenic or benign direction.</w:t>
      </w:r>
    </w:p>
    <w:p>
      <w:pPr>
        <w:pStyle w:val="Body"/>
        <w:spacing w:after="120" w:line="360" w:lineRule="auto"/>
        <w:jc w:val="both"/>
      </w:pPr>
      <w:r>
        <w:rPr>
          <w:rFonts w:ascii="Times New Roman" w:hAnsi="Times New Roman"/>
          <w:sz w:val="24"/>
          <w:szCs w:val="24"/>
          <w:rtl w:val="0"/>
          <w:lang w:val="en-US"/>
        </w:rPr>
        <w:t>Holzinger et al. (2017) argued that explainability is essential for AI adoption in clinical settings, as clinicians require not just accurate predictions but justifiable, auditable reasoning to support clinical decisions. Our SHAP integration directly addresses this requirement by providing clinician-readable feature attributions alongside ACMG criterion justifications.</w:t>
      </w:r>
    </w:p>
    <w:p>
      <w:pPr>
        <w:pStyle w:val="Body"/>
        <w:spacing w:before="240" w:after="120"/>
      </w:pPr>
      <w:r>
        <w:rPr>
          <w:rFonts w:ascii="Times New Roman" w:hAnsi="Times New Roman"/>
          <w:b w:val="1"/>
          <w:bCs w:val="1"/>
          <w:sz w:val="24"/>
          <w:szCs w:val="24"/>
          <w:rtl w:val="0"/>
          <w:lang w:val="en-US"/>
        </w:rPr>
        <w:t>2.4 Retrieval-Augmented Generation</w:t>
      </w:r>
    </w:p>
    <w:p>
      <w:pPr>
        <w:pStyle w:val="Body"/>
        <w:spacing w:after="120" w:line="360" w:lineRule="auto"/>
        <w:jc w:val="both"/>
      </w:pPr>
      <w:r>
        <w:rPr>
          <w:rFonts w:ascii="Times New Roman" w:hAnsi="Times New Roman"/>
          <w:sz w:val="24"/>
          <w:szCs w:val="24"/>
          <w:rtl w:val="0"/>
          <w:lang w:val="en-US"/>
        </w:rPr>
        <w:t>Lewis et al. (2020) introduced Retrieval-Augmented Generation (RAG), a framework that augments a parametric language model with a non-parametric retrieval component to condition generation on retrieved documents. RAG significantly improves factual accuracy and enables language models to cite up-to-date evidence that was not present in their training data. In the medical domain, grounding LLM outputs in retrieved biomedical literature is essential to prevent hallucination of clinical facts.</w:t>
      </w:r>
    </w:p>
    <w:p>
      <w:pPr>
        <w:pStyle w:val="Body"/>
        <w:spacing w:after="120" w:line="360" w:lineRule="auto"/>
        <w:jc w:val="both"/>
      </w:pPr>
      <w:r>
        <w:rPr>
          <w:rFonts w:ascii="Times New Roman" w:hAnsi="Times New Roman"/>
          <w:sz w:val="24"/>
          <w:szCs w:val="24"/>
          <w:rtl w:val="0"/>
          <w:lang w:val="en-US"/>
        </w:rPr>
        <w:t>Xiong et al. (2023) demonstrated the application of RAG to biomedical question answering using PubMed-indexed literature, showing that domain-specific retrieval from curated biomedical corpora substantially outperforms closed-book generation. Our system constructs a FAISS vector index over 363 epilepsy-specific PubMed abstracts using the PubMedBERT embedding model (pritamdeka/S-PubMedBert-MS-MARCO), providing targeted retrieval for each variant's gene.</w:t>
      </w:r>
    </w:p>
    <w:p>
      <w:pPr>
        <w:pStyle w:val="Body"/>
        <w:spacing w:after="120" w:line="360" w:lineRule="auto"/>
        <w:jc w:val="both"/>
      </w:pPr>
      <w:r>
        <w:rPr>
          <w:rFonts w:ascii="Times New Roman" w:hAnsi="Times New Roman"/>
          <w:sz w:val="24"/>
          <w:szCs w:val="24"/>
          <w:rtl w:val="0"/>
          <w:lang w:val="en-US"/>
        </w:rPr>
        <w:t>Johnson et al. (2023) reviewed the use of large language models in clinical genomics, noting that LLMs trained on general text corpora have limited ability to accurately interpret variant pathogenicity without grounding in structured clinical databases. Our multi-source retriever addresses this by integrating ClinVar, gnomAD, PubMed, and PharmGKB data before generation, ensuring the LLM narrative is anchored in verified clinical evidence.</w:t>
      </w:r>
    </w:p>
    <w:p>
      <w:pPr>
        <w:pStyle w:val="Body"/>
        <w:spacing w:before="240" w:after="120"/>
      </w:pPr>
      <w:r>
        <w:rPr>
          <w:rFonts w:ascii="Times New Roman" w:hAnsi="Times New Roman"/>
          <w:b w:val="1"/>
          <w:bCs w:val="1"/>
          <w:sz w:val="24"/>
          <w:szCs w:val="24"/>
          <w:rtl w:val="0"/>
          <w:lang w:val="en-US"/>
        </w:rPr>
        <w:t>2.5 Epilepsy-Specific Genomics</w:t>
      </w:r>
    </w:p>
    <w:p>
      <w:pPr>
        <w:pStyle w:val="Body"/>
        <w:spacing w:after="120" w:line="360" w:lineRule="auto"/>
        <w:jc w:val="both"/>
      </w:pPr>
      <w:r>
        <w:rPr>
          <w:rFonts w:ascii="Times New Roman" w:hAnsi="Times New Roman"/>
          <w:sz w:val="24"/>
          <w:szCs w:val="24"/>
          <w:rtl w:val="0"/>
          <w:lang w:val="en-US"/>
        </w:rPr>
        <w:t xml:space="preserve">Scheffer et al. (2017) published the ILAE (International League Against Epilepsy) classification of epilepsies and epileptic seizures, establishing a framework that maps specific gene variants to epilepsy syndromes. Key genes include SCN1A (Dravet syndrome), KCNQ2 (neonatal epilepsy), TSC1/TSC2 (tuberous sclerosis complex), STXBP1 (Ohtahara syndrome), and SLC2A1 (GLUT1 deficiency syndrome). The distinction between loss-of-function (LOF) and gain-of-function (GOF) mechanisms </w:t>
      </w:r>
      <w:r>
        <w:rPr>
          <w:rFonts w:ascii="Times New Roman" w:hAnsi="Times New Roman" w:hint="default"/>
          <w:sz w:val="24"/>
          <w:szCs w:val="24"/>
          <w:rtl w:val="0"/>
          <w:lang w:val="en-US"/>
        </w:rPr>
        <w:t xml:space="preserve">— </w:t>
      </w:r>
      <w:r>
        <w:rPr>
          <w:rFonts w:ascii="Times New Roman" w:hAnsi="Times New Roman"/>
          <w:sz w:val="24"/>
          <w:szCs w:val="24"/>
          <w:rtl w:val="0"/>
          <w:lang w:val="en-US"/>
        </w:rPr>
        <w:t xml:space="preserve">a critical determinant of PVS1 applicability </w:t>
      </w:r>
      <w:r>
        <w:rPr>
          <w:rFonts w:ascii="Times New Roman" w:hAnsi="Times New Roman" w:hint="default"/>
          <w:sz w:val="24"/>
          <w:szCs w:val="24"/>
          <w:rtl w:val="0"/>
          <w:lang w:val="en-US"/>
        </w:rPr>
        <w:t xml:space="preserve">— </w:t>
      </w:r>
      <w:r>
        <w:rPr>
          <w:rFonts w:ascii="Times New Roman" w:hAnsi="Times New Roman"/>
          <w:sz w:val="24"/>
          <w:szCs w:val="24"/>
          <w:rtl w:val="0"/>
          <w:lang w:val="en-US"/>
        </w:rPr>
        <w:t>is well established for these genes and is encoded directly in our GENE_MECHANISM map.</w:t>
      </w:r>
    </w:p>
    <w:p>
      <w:pPr>
        <w:pStyle w:val="Body"/>
        <w:spacing w:after="120" w:line="360" w:lineRule="auto"/>
        <w:jc w:val="both"/>
      </w:pPr>
      <w:r>
        <w:rPr>
          <w:rFonts w:ascii="Times New Roman" w:hAnsi="Times New Roman"/>
          <w:sz w:val="24"/>
          <w:szCs w:val="24"/>
          <w:rtl w:val="0"/>
          <w:lang w:val="en-US"/>
        </w:rPr>
        <w:t>Nolan et al. (2019) conducted a systematic analysis of variant classification discordance across epilepsy genetics laboratories, finding that VUS classification rates exceeded 30% for many commonly sequenced genes. The high VUS burden in epilepsy genetics underscores the need for automated tools that can leverage multiple evidence sources to resolve uncertain classifications.</w:t>
      </w:r>
    </w:p>
    <w:p>
      <w:pPr>
        <w:pStyle w:val="Body"/>
        <w:spacing w:before="240" w:after="120"/>
      </w:pPr>
      <w:r>
        <w:rPr>
          <w:rFonts w:ascii="Times New Roman" w:hAnsi="Times New Roman"/>
          <w:b w:val="1"/>
          <w:bCs w:val="1"/>
          <w:sz w:val="24"/>
          <w:szCs w:val="24"/>
          <w:rtl w:val="0"/>
          <w:lang w:val="en-US"/>
        </w:rPr>
        <w:t>2.6 Population Frequency Databases</w:t>
      </w:r>
    </w:p>
    <w:p>
      <w:pPr>
        <w:pStyle w:val="Body"/>
        <w:spacing w:after="120" w:line="360" w:lineRule="auto"/>
        <w:jc w:val="both"/>
      </w:pPr>
      <w:r>
        <w:rPr>
          <w:rFonts w:ascii="Times New Roman" w:hAnsi="Times New Roman"/>
          <w:sz w:val="24"/>
          <w:szCs w:val="24"/>
          <w:rtl w:val="0"/>
          <w:lang w:val="en-US"/>
        </w:rPr>
        <w:t>Karczewski et al. (2020) described gnomAD v3, the Genome Aggregation Database containing population-level allele frequencies from over 140,000 individuals. gnomAD is the primary source for ACMG PM2 (absent from population databases), BS1 (allele frequency greater than expected for disease), and BA1 (stand-alone benign, AF &gt; 5%) criteria. Our gnomAD fetcher queries the gnomAD GraphQL API and caches results in SQLite with a 30-day TTL.</w:t>
      </w:r>
    </w:p>
    <w:p>
      <w:pPr>
        <w:pStyle w:val="Body"/>
        <w:spacing w:before="240" w:after="120"/>
      </w:pPr>
      <w:r>
        <w:rPr>
          <w:rFonts w:ascii="Times New Roman" w:hAnsi="Times New Roman"/>
          <w:b w:val="1"/>
          <w:bCs w:val="1"/>
          <w:sz w:val="24"/>
          <w:szCs w:val="24"/>
          <w:rtl w:val="0"/>
          <w:lang w:val="en-US"/>
        </w:rPr>
        <w:t>2.7 Related Work Summary</w:t>
      </w:r>
    </w:p>
    <w:p>
      <w:pPr>
        <w:pStyle w:val="Body"/>
        <w:spacing w:after="120" w:line="360" w:lineRule="auto"/>
        <w:jc w:val="both"/>
      </w:pPr>
      <w:r>
        <w:rPr>
          <w:rFonts w:ascii="Times New Roman" w:hAnsi="Times New Roman"/>
          <w:sz w:val="24"/>
          <w:szCs w:val="24"/>
          <w:rtl w:val="0"/>
          <w:lang w:val="en-US"/>
        </w:rPr>
        <w:t>Table 2.1 summarises the key related works and their limitations.</w:t>
      </w:r>
    </w:p>
    <w:p>
      <w:pPr>
        <w:pStyle w:val="Body"/>
        <w:jc w:val="center"/>
      </w:pPr>
      <w:r>
        <w:rPr>
          <w:rFonts w:ascii="Times New Roman" w:hAnsi="Times New Roman"/>
          <w:b w:val="1"/>
          <w:bCs w:val="1"/>
          <w:sz w:val="24"/>
          <w:szCs w:val="24"/>
          <w:rtl w:val="0"/>
          <w:lang w:val="en-US"/>
        </w:rPr>
        <w:t>Table 2.1: Summary of Related Works</w:t>
      </w:r>
    </w:p>
    <w:tbl>
      <w:tblPr>
        <w:tblW w:w="8787"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29"/>
        <w:gridCol w:w="2929"/>
        <w:gridCol w:w="2929"/>
      </w:tblGrid>
      <w:tr>
        <w:tblPrEx>
          <w:shd w:val="clear" w:color="auto" w:fill="ced7e7"/>
        </w:tblPrEx>
        <w:trPr>
          <w:trHeight w:val="222" w:hRule="atLeast"/>
        </w:trPr>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b w:val="1"/>
                <w:bCs w:val="1"/>
                <w:sz w:val="20"/>
                <w:szCs w:val="20"/>
                <w:shd w:val="nil" w:color="auto" w:fill="auto"/>
                <w:rtl w:val="0"/>
                <w:lang w:val="en-US"/>
              </w:rPr>
              <w:t>Reference</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b w:val="1"/>
                <w:bCs w:val="1"/>
                <w:sz w:val="20"/>
                <w:szCs w:val="20"/>
                <w:shd w:val="nil" w:color="auto" w:fill="auto"/>
                <w:rtl w:val="0"/>
                <w:lang w:val="en-US"/>
              </w:rPr>
              <w:t>Contribution</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b w:val="1"/>
                <w:bCs w:val="1"/>
                <w:sz w:val="20"/>
                <w:szCs w:val="20"/>
                <w:shd w:val="nil" w:color="auto" w:fill="auto"/>
                <w:rtl w:val="0"/>
                <w:lang w:val="en-US"/>
              </w:rPr>
              <w:t>Limitation</w:t>
            </w:r>
          </w:p>
        </w:tc>
      </w:tr>
      <w:tr>
        <w:tblPrEx>
          <w:shd w:val="clear" w:color="auto" w:fill="ced7e7"/>
        </w:tblPrEx>
        <w:trPr>
          <w:trHeight w:val="442" w:hRule="atLeast"/>
        </w:trPr>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Richards et al., 2015</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ACMG/AMP guidelines</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Manual, subjective, no ML integration</w:t>
            </w:r>
          </w:p>
        </w:tc>
      </w:tr>
      <w:tr>
        <w:tblPrEx>
          <w:shd w:val="clear" w:color="auto" w:fill="ced7e7"/>
        </w:tblPrEx>
        <w:trPr>
          <w:trHeight w:val="442" w:hRule="atLeast"/>
        </w:trPr>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Tavtigian et al., 2018</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Bayesian points-based ACMG scoring</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No automated implementation provided</w:t>
            </w:r>
          </w:p>
        </w:tc>
      </w:tr>
      <w:tr>
        <w:tblPrEx>
          <w:shd w:val="clear" w:color="auto" w:fill="ced7e7"/>
        </w:tblPrEx>
        <w:trPr>
          <w:trHeight w:val="442" w:hRule="atLeast"/>
        </w:trPr>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Kircher et al., 2014 (CADD)</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SVM-based deleteriousness score</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No ACMG tier, not epilepsy-specific</w:t>
            </w:r>
          </w:p>
        </w:tc>
      </w:tr>
      <w:tr>
        <w:tblPrEx>
          <w:shd w:val="clear" w:color="auto" w:fill="ced7e7"/>
        </w:tblPrEx>
        <w:trPr>
          <w:trHeight w:val="222" w:hRule="atLeast"/>
        </w:trPr>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Ioannidis et al., 2016 (REVEL)</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Ensemble of 13 predictors</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Missense only, no LOF/splice</w:t>
            </w:r>
          </w:p>
        </w:tc>
      </w:tr>
      <w:tr>
        <w:tblPrEx>
          <w:shd w:val="clear" w:color="auto" w:fill="ced7e7"/>
        </w:tblPrEx>
        <w:trPr>
          <w:trHeight w:val="442" w:hRule="atLeast"/>
        </w:trPr>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Chen &amp; Guestrin, 2016 (XGBoost)</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Gradient boosting framework</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General purpose, no clinical mapping</w:t>
            </w:r>
          </w:p>
        </w:tc>
      </w:tr>
      <w:tr>
        <w:tblPrEx>
          <w:shd w:val="clear" w:color="auto" w:fill="ced7e7"/>
        </w:tblPrEx>
        <w:trPr>
          <w:trHeight w:val="222" w:hRule="atLeast"/>
        </w:trPr>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Lundberg &amp; Lee, 2017 (SHAP)</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Shapley-based explainability</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Tool only, no clinical integration</w:t>
            </w:r>
          </w:p>
        </w:tc>
      </w:tr>
      <w:tr>
        <w:tblPrEx>
          <w:shd w:val="clear" w:color="auto" w:fill="ced7e7"/>
        </w:tblPrEx>
        <w:trPr>
          <w:trHeight w:val="442" w:hRule="atLeast"/>
        </w:trPr>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Lewis et al., 2020 (RAG)</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Retrieval-augmented generation</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General purpose, no genomics focus</w:t>
            </w:r>
          </w:p>
        </w:tc>
      </w:tr>
      <w:tr>
        <w:tblPrEx>
          <w:shd w:val="clear" w:color="auto" w:fill="ced7e7"/>
        </w:tblPrEx>
        <w:trPr>
          <w:trHeight w:val="442" w:hRule="atLeast"/>
        </w:trPr>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Karczewski et al., 2020 (gnomAD)</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Population frequency database</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Data source only, no classifier</w:t>
            </w:r>
          </w:p>
        </w:tc>
      </w:tr>
    </w:tbl>
    <w:p>
      <w:pPr>
        <w:pStyle w:val="Body"/>
        <w:widowControl w:val="0"/>
        <w:spacing w:line="240" w:lineRule="auto"/>
        <w:jc w:val="center"/>
      </w:pPr>
    </w:p>
    <w:p>
      <w:pPr>
        <w:pStyle w:val="Body"/>
        <w:widowControl w:val="0"/>
        <w:spacing w:line="240" w:lineRule="auto"/>
        <w:jc w:val="center"/>
      </w:pPr>
    </w:p>
    <w:p>
      <w:pPr>
        <w:pStyle w:val="Body"/>
        <w:widowControl w:val="0"/>
        <w:spacing w:line="240" w:lineRule="auto"/>
        <w:jc w:val="center"/>
      </w:pPr>
    </w:p>
    <w:p>
      <w:pPr>
        <w:pStyle w:val="Body"/>
        <w:widowControl w:val="0"/>
        <w:spacing w:line="240" w:lineRule="auto"/>
        <w:jc w:val="center"/>
      </w:pPr>
    </w:p>
    <w:p>
      <w:pPr>
        <w:pStyle w:val="Body"/>
        <w:spacing w:before="240" w:after="120"/>
      </w:pPr>
      <w:r>
        <w:rPr>
          <w:rFonts w:ascii="Times New Roman" w:hAnsi="Times New Roman"/>
          <w:b w:val="1"/>
          <w:bCs w:val="1"/>
          <w:sz w:val="24"/>
          <w:szCs w:val="24"/>
          <w:rtl w:val="0"/>
          <w:lang w:val="en-US"/>
        </w:rPr>
        <w:t>2.8 Limitations of the Present Work</w:t>
      </w:r>
    </w:p>
    <w:p>
      <w:pPr>
        <w:pStyle w:val="Body"/>
        <w:spacing w:after="120" w:line="360" w:lineRule="auto"/>
        <w:jc w:val="both"/>
      </w:pPr>
      <w:r>
        <w:rPr>
          <w:rFonts w:ascii="Times New Roman" w:hAnsi="Times New Roman"/>
          <w:sz w:val="24"/>
          <w:szCs w:val="24"/>
          <w:rtl w:val="0"/>
          <w:lang w:val="en-US"/>
        </w:rPr>
        <w:t>Based on the literature review, the following gaps and limitations in existing work are identified, which the proposed system addresses:</w:t>
      </w:r>
    </w:p>
    <w:p>
      <w:pPr>
        <w:pStyle w:val="Body"/>
        <w:spacing w:after="80"/>
        <w:ind w:left="576" w:hanging="288"/>
      </w:pPr>
      <w:r>
        <w:rPr>
          <w:rFonts w:ascii="Times New Roman" w:hAnsi="Times New Roman" w:hint="default"/>
          <w:sz w:val="24"/>
          <w:szCs w:val="24"/>
          <w:rtl w:val="0"/>
          <w:lang w:val="en-US"/>
        </w:rPr>
        <w:t xml:space="preserve">•  </w:t>
      </w:r>
      <w:r>
        <w:rPr>
          <w:rFonts w:ascii="Times New Roman" w:hAnsi="Times New Roman"/>
          <w:sz w:val="24"/>
          <w:szCs w:val="24"/>
          <w:rtl w:val="0"/>
          <w:lang w:val="en-US"/>
        </w:rPr>
        <w:t>No existing tool provides ACMG/AMP classification specifically tailored to the gene-disease mechanism knowledge of epilepsy genes (LOF vs. GOF distinction for PVS1 applicability).</w:t>
      </w:r>
    </w:p>
    <w:p>
      <w:pPr>
        <w:pStyle w:val="Body"/>
        <w:spacing w:after="80"/>
        <w:ind w:left="576" w:hanging="288"/>
      </w:pPr>
      <w:r>
        <w:rPr>
          <w:rFonts w:ascii="Times New Roman" w:hAnsi="Times New Roman" w:hint="default"/>
          <w:sz w:val="24"/>
          <w:szCs w:val="24"/>
          <w:rtl w:val="0"/>
          <w:lang w:val="en-US"/>
        </w:rPr>
        <w:t xml:space="preserve">•  </w:t>
      </w:r>
      <w:r>
        <w:rPr>
          <w:rFonts w:ascii="Times New Roman" w:hAnsi="Times New Roman"/>
          <w:sz w:val="24"/>
          <w:szCs w:val="24"/>
          <w:rtl w:val="0"/>
          <w:lang w:val="en-US"/>
        </w:rPr>
        <w:t>Existing ML tools (CADD, REVEL) do not produce ACMG-tier classifications or map their predictions to evidence criteria, limiting direct clinical utility.</w:t>
      </w:r>
    </w:p>
    <w:p>
      <w:pPr>
        <w:pStyle w:val="Body"/>
        <w:spacing w:after="80"/>
        <w:ind w:left="576" w:hanging="288"/>
      </w:pPr>
      <w:r>
        <w:rPr>
          <w:rFonts w:ascii="Times New Roman" w:hAnsi="Times New Roman" w:hint="default"/>
          <w:sz w:val="24"/>
          <w:szCs w:val="24"/>
          <w:rtl w:val="0"/>
          <w:lang w:val="en-US"/>
        </w:rPr>
        <w:t xml:space="preserve">•  </w:t>
      </w:r>
      <w:r>
        <w:rPr>
          <w:rFonts w:ascii="Times New Roman" w:hAnsi="Times New Roman"/>
          <w:sz w:val="24"/>
          <w:szCs w:val="24"/>
          <w:rtl w:val="0"/>
          <w:lang w:val="en-US"/>
        </w:rPr>
        <w:t>No tool integrates ML prediction, SHAP explainability, multi-source database retrieval, ACMG classification, and RAG narrative generation within a single deployable clinical application.</w:t>
      </w:r>
    </w:p>
    <w:p>
      <w:pPr>
        <w:pStyle w:val="Body"/>
        <w:spacing w:after="80"/>
        <w:ind w:left="576" w:hanging="288"/>
      </w:pPr>
      <w:r>
        <w:rPr>
          <w:rFonts w:ascii="Times New Roman" w:hAnsi="Times New Roman" w:hint="default"/>
          <w:sz w:val="24"/>
          <w:szCs w:val="24"/>
          <w:rtl w:val="0"/>
          <w:lang w:val="en-US"/>
        </w:rPr>
        <w:t xml:space="preserve">•  </w:t>
      </w:r>
      <w:r>
        <w:rPr>
          <w:rFonts w:ascii="Times New Roman" w:hAnsi="Times New Roman"/>
          <w:sz w:val="24"/>
          <w:szCs w:val="24"/>
          <w:rtl w:val="0"/>
          <w:lang w:val="en-US"/>
        </w:rPr>
        <w:t>Current RAG systems for genomics do not integrate real-time ClinVar and gnomAD data into their retrieval context, risking outdated information in generated narratives.</w:t>
      </w:r>
    </w:p>
    <w:p>
      <w:pPr>
        <w:pStyle w:val="Body"/>
        <w:spacing w:after="80"/>
        <w:ind w:left="576" w:hanging="288"/>
      </w:pPr>
      <w:r>
        <w:rPr>
          <w:rFonts w:ascii="Times New Roman" w:hAnsi="Times New Roman" w:hint="default"/>
          <w:sz w:val="24"/>
          <w:szCs w:val="24"/>
          <w:rtl w:val="0"/>
          <w:lang w:val="en-US"/>
        </w:rPr>
        <w:t xml:space="preserve">•  </w:t>
      </w:r>
      <w:r>
        <w:rPr>
          <w:rFonts w:ascii="Times New Roman" w:hAnsi="Times New Roman"/>
          <w:sz w:val="24"/>
          <w:szCs w:val="24"/>
          <w:rtl w:val="0"/>
          <w:lang w:val="en-US"/>
        </w:rPr>
        <w:t>Confidence-aware routing and contradiction detection between evidence sources are absent from existing variant classification tools.</w:t>
      </w:r>
    </w:p>
    <w:p>
      <w:pPr>
        <w:pStyle w:val="Body"/>
      </w:pPr>
      <w:r>
        <w:rPr>
          <w:rFonts w:ascii="Arial Unicode MS" w:cs="Arial Unicode MS" w:hAnsi="Arial Unicode MS" w:eastAsia="Arial Unicode MS"/>
          <w:b w:val="0"/>
          <w:bCs w:val="0"/>
          <w:i w:val="0"/>
          <w:iCs w:val="0"/>
        </w:rPr>
        <w:br w:type="page"/>
      </w:r>
    </w:p>
    <w:p>
      <w:pPr>
        <w:pStyle w:val="Body"/>
        <w:spacing w:before="360" w:after="0"/>
        <w:jc w:val="right"/>
      </w:pPr>
      <w:r>
        <w:rPr>
          <w:rFonts w:ascii="Times New Roman" w:hAnsi="Times New Roman"/>
          <w:b w:val="1"/>
          <w:bCs w:val="1"/>
          <w:i w:val="1"/>
          <w:iCs w:val="1"/>
          <w:sz w:val="28"/>
          <w:szCs w:val="28"/>
          <w:rtl w:val="0"/>
          <w:lang w:val="nl-NL"/>
        </w:rPr>
        <w:t>Chapter 3</w:t>
      </w:r>
    </w:p>
    <w:p>
      <w:pPr>
        <w:pStyle w:val="Body"/>
        <w:pBdr>
          <w:top w:val="nil"/>
          <w:left w:val="nil"/>
          <w:bottom w:val="single" w:color="aaaaaa" w:sz="6" w:space="0" w:shadow="0" w:frame="0"/>
          <w:right w:val="nil"/>
        </w:pBdr>
        <w:spacing w:before="40" w:after="280"/>
        <w:jc w:val="right"/>
      </w:pPr>
      <w:r>
        <w:rPr>
          <w:rFonts w:ascii="Times New Roman" w:hAnsi="Times New Roman"/>
          <w:b w:val="1"/>
          <w:bCs w:val="1"/>
          <w:sz w:val="28"/>
          <w:szCs w:val="28"/>
          <w:rtl w:val="0"/>
          <w:lang w:val="en-US"/>
        </w:rPr>
        <w:t>SYSTEM REQUIREMENTS AND ANALYSIS</w:t>
      </w:r>
    </w:p>
    <w:p>
      <w:pPr>
        <w:pStyle w:val="Body"/>
        <w:spacing w:after="120" w:line="360" w:lineRule="auto"/>
        <w:jc w:val="both"/>
      </w:pPr>
      <w:r>
        <w:rPr>
          <w:rFonts w:ascii="Times New Roman" w:hAnsi="Times New Roman"/>
          <w:sz w:val="24"/>
          <w:szCs w:val="24"/>
          <w:rtl w:val="0"/>
          <w:lang w:val="en-US"/>
        </w:rPr>
        <w:t>This chapter describes the hardware, software, functional, and non-functional requirements of the Epilepsy Variant Diagnostic Assistant. Requirements were elicited through analysis of clinical workflows, review of existing variant classification tools, and iterative consultation with the project guide.</w:t>
      </w:r>
    </w:p>
    <w:p>
      <w:pPr>
        <w:pStyle w:val="Body"/>
        <w:spacing w:before="240" w:after="120"/>
      </w:pPr>
      <w:r>
        <w:rPr>
          <w:rFonts w:ascii="Times New Roman" w:hAnsi="Times New Roman"/>
          <w:b w:val="1"/>
          <w:bCs w:val="1"/>
          <w:sz w:val="24"/>
          <w:szCs w:val="24"/>
          <w:rtl w:val="0"/>
          <w:lang w:val="en-US"/>
        </w:rPr>
        <w:t>3.1 Hardware Requirements</w:t>
      </w:r>
    </w:p>
    <w:p>
      <w:pPr>
        <w:pStyle w:val="Body"/>
        <w:spacing w:after="120" w:line="360" w:lineRule="auto"/>
        <w:jc w:val="both"/>
      </w:pPr>
      <w:r>
        <w:rPr>
          <w:rFonts w:ascii="Times New Roman" w:hAnsi="Times New Roman"/>
          <w:sz w:val="24"/>
          <w:szCs w:val="24"/>
          <w:rtl w:val="0"/>
          <w:lang w:val="en-US"/>
        </w:rPr>
        <w:t>Table 3.1 lists the minimum and recommended hardware specifications for deployment.</w:t>
      </w:r>
    </w:p>
    <w:p>
      <w:pPr>
        <w:pStyle w:val="Body"/>
        <w:jc w:val="center"/>
      </w:pPr>
      <w:r>
        <w:rPr>
          <w:rFonts w:ascii="Times New Roman" w:hAnsi="Times New Roman"/>
          <w:b w:val="1"/>
          <w:bCs w:val="1"/>
          <w:sz w:val="24"/>
          <w:szCs w:val="24"/>
          <w:rtl w:val="0"/>
          <w:lang w:val="en-US"/>
        </w:rPr>
        <w:t>Table 3.1: Hardware Requirements</w:t>
      </w:r>
    </w:p>
    <w:tbl>
      <w:tblPr>
        <w:tblW w:w="8787"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29"/>
        <w:gridCol w:w="2929"/>
        <w:gridCol w:w="2929"/>
      </w:tblGrid>
      <w:tr>
        <w:tblPrEx>
          <w:shd w:val="clear" w:color="auto" w:fill="ced7e7"/>
        </w:tblPrEx>
        <w:trPr>
          <w:trHeight w:val="241" w:hRule="atLeast"/>
        </w:trPr>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b w:val="1"/>
                <w:bCs w:val="1"/>
                <w:shd w:val="nil" w:color="auto" w:fill="auto"/>
                <w:rtl w:val="0"/>
                <w:lang w:val="en-US"/>
              </w:rPr>
              <w:t>Component</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b w:val="1"/>
                <w:bCs w:val="1"/>
                <w:shd w:val="nil" w:color="auto" w:fill="auto"/>
                <w:rtl w:val="0"/>
                <w:lang w:val="en-US"/>
              </w:rPr>
              <w:t>Minimum</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b w:val="1"/>
                <w:bCs w:val="1"/>
                <w:shd w:val="nil" w:color="auto" w:fill="auto"/>
                <w:rtl w:val="0"/>
                <w:lang w:val="en-US"/>
              </w:rPr>
              <w:t>Recommended</w:t>
            </w:r>
          </w:p>
        </w:tc>
      </w:tr>
      <w:tr>
        <w:tblPrEx>
          <w:shd w:val="clear" w:color="auto" w:fill="ced7e7"/>
        </w:tblPrEx>
        <w:trPr>
          <w:trHeight w:val="481" w:hRule="atLeast"/>
        </w:trPr>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Processor</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Intel Core i5 (8th Gen) or equivalent</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Intel Core i7 / Apple M-series</w:t>
            </w:r>
          </w:p>
        </w:tc>
      </w:tr>
      <w:tr>
        <w:tblPrEx>
          <w:shd w:val="clear" w:color="auto" w:fill="ced7e7"/>
        </w:tblPrEx>
        <w:trPr>
          <w:trHeight w:val="241" w:hRule="atLeast"/>
        </w:trPr>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RAM</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8 GB</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16 GB or above</w:t>
            </w:r>
          </w:p>
        </w:tc>
      </w:tr>
      <w:tr>
        <w:tblPrEx>
          <w:shd w:val="clear" w:color="auto" w:fill="ced7e7"/>
        </w:tblPrEx>
        <w:trPr>
          <w:trHeight w:val="241" w:hRule="atLeast"/>
        </w:trPr>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Storage</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10 GB free space</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50 GB SSD</w:t>
            </w:r>
          </w:p>
        </w:tc>
      </w:tr>
      <w:tr>
        <w:tblPrEx>
          <w:shd w:val="clear" w:color="auto" w:fill="ced7e7"/>
        </w:tblPrEx>
        <w:trPr>
          <w:trHeight w:val="481" w:hRule="atLeast"/>
        </w:trPr>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GPU</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Not required (CPU inference)</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CUDA-capable GPU (for model retraining)</w:t>
            </w:r>
          </w:p>
        </w:tc>
      </w:tr>
      <w:tr>
        <w:tblPrEx>
          <w:shd w:val="clear" w:color="auto" w:fill="ced7e7"/>
        </w:tblPrEx>
        <w:trPr>
          <w:trHeight w:val="481" w:hRule="atLeast"/>
        </w:trPr>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Network</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Broadband (for ClinVar/gnomAD API)</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Stable high-speed internet</w:t>
            </w:r>
          </w:p>
        </w:tc>
      </w:tr>
      <w:tr>
        <w:tblPrEx>
          <w:shd w:val="clear" w:color="auto" w:fill="ced7e7"/>
        </w:tblPrEx>
        <w:trPr>
          <w:trHeight w:val="241" w:hRule="atLeast"/>
        </w:trPr>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Display</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 xml:space="preserve">1280 </w:t>
            </w:r>
            <w:r>
              <w:rPr>
                <w:rFonts w:ascii="Times New Roman" w:hAnsi="Times New Roman" w:hint="default"/>
                <w:shd w:val="nil" w:color="auto" w:fill="auto"/>
                <w:rtl w:val="0"/>
                <w:lang w:val="en-US"/>
              </w:rPr>
              <w:t xml:space="preserve">× </w:t>
            </w:r>
            <w:r>
              <w:rPr>
                <w:rFonts w:ascii="Times New Roman" w:hAnsi="Times New Roman"/>
                <w:shd w:val="nil" w:color="auto" w:fill="auto"/>
                <w:rtl w:val="0"/>
                <w:lang w:val="en-US"/>
              </w:rPr>
              <w:t>720 resolution</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 xml:space="preserve">1920 </w:t>
            </w:r>
            <w:r>
              <w:rPr>
                <w:rFonts w:ascii="Times New Roman" w:hAnsi="Times New Roman" w:hint="default"/>
                <w:shd w:val="nil" w:color="auto" w:fill="auto"/>
                <w:rtl w:val="0"/>
                <w:lang w:val="en-US"/>
              </w:rPr>
              <w:t xml:space="preserve">× </w:t>
            </w:r>
            <w:r>
              <w:rPr>
                <w:rFonts w:ascii="Times New Roman" w:hAnsi="Times New Roman"/>
                <w:shd w:val="nil" w:color="auto" w:fill="auto"/>
                <w:rtl w:val="0"/>
                <w:lang w:val="en-US"/>
              </w:rPr>
              <w:t>1080 or above</w:t>
            </w:r>
          </w:p>
        </w:tc>
      </w:tr>
    </w:tbl>
    <w:p>
      <w:pPr>
        <w:pStyle w:val="Body"/>
        <w:widowControl w:val="0"/>
        <w:spacing w:line="240" w:lineRule="auto"/>
        <w:jc w:val="center"/>
      </w:pPr>
    </w:p>
    <w:p>
      <w:pPr>
        <w:pStyle w:val="Body"/>
        <w:spacing w:before="240" w:after="120"/>
      </w:pPr>
      <w:r>
        <w:rPr>
          <w:rFonts w:ascii="Times New Roman" w:hAnsi="Times New Roman"/>
          <w:b w:val="1"/>
          <w:bCs w:val="1"/>
          <w:sz w:val="24"/>
          <w:szCs w:val="24"/>
          <w:rtl w:val="0"/>
          <w:lang w:val="en-US"/>
        </w:rPr>
        <w:t>3.2 Software Requirements</w:t>
      </w:r>
    </w:p>
    <w:p>
      <w:pPr>
        <w:pStyle w:val="Body"/>
        <w:spacing w:after="120" w:line="360" w:lineRule="auto"/>
        <w:jc w:val="both"/>
      </w:pPr>
      <w:r>
        <w:rPr>
          <w:rFonts w:ascii="Times New Roman" w:hAnsi="Times New Roman"/>
          <w:sz w:val="24"/>
          <w:szCs w:val="24"/>
          <w:rtl w:val="0"/>
          <w:lang w:val="en-US"/>
        </w:rPr>
        <w:t>Table 3.2 lists the software dependencies of the system.</w:t>
      </w:r>
    </w:p>
    <w:p>
      <w:pPr>
        <w:pStyle w:val="Body"/>
        <w:jc w:val="center"/>
      </w:pPr>
      <w:r>
        <w:rPr>
          <w:rFonts w:ascii="Times New Roman" w:hAnsi="Times New Roman"/>
          <w:b w:val="1"/>
          <w:bCs w:val="1"/>
          <w:sz w:val="24"/>
          <w:szCs w:val="24"/>
          <w:rtl w:val="0"/>
          <w:lang w:val="en-US"/>
        </w:rPr>
        <w:t>Table 3.2: Software Requirements</w:t>
      </w:r>
    </w:p>
    <w:tbl>
      <w:tblPr>
        <w:tblW w:w="8787"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29"/>
        <w:gridCol w:w="2929"/>
        <w:gridCol w:w="2929"/>
      </w:tblGrid>
      <w:tr>
        <w:tblPrEx>
          <w:shd w:val="clear" w:color="auto" w:fill="ced7e7"/>
        </w:tblPrEx>
        <w:trPr>
          <w:trHeight w:val="241" w:hRule="atLeast"/>
        </w:trPr>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b w:val="1"/>
                <w:bCs w:val="1"/>
                <w:shd w:val="nil" w:color="auto" w:fill="auto"/>
                <w:rtl w:val="0"/>
                <w:lang w:val="en-US"/>
              </w:rPr>
              <w:t>Component</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b w:val="1"/>
                <w:bCs w:val="1"/>
                <w:shd w:val="nil" w:color="auto" w:fill="auto"/>
                <w:rtl w:val="0"/>
                <w:lang w:val="en-US"/>
              </w:rPr>
              <w:t>Requirement</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b w:val="1"/>
                <w:bCs w:val="1"/>
                <w:shd w:val="nil" w:color="auto" w:fill="auto"/>
                <w:rtl w:val="0"/>
                <w:lang w:val="en-US"/>
              </w:rPr>
              <w:t>Version Used</w:t>
            </w:r>
          </w:p>
        </w:tc>
      </w:tr>
      <w:tr>
        <w:tblPrEx>
          <w:shd w:val="clear" w:color="auto" w:fill="ced7e7"/>
        </w:tblPrEx>
        <w:trPr>
          <w:trHeight w:val="481" w:hRule="atLeast"/>
        </w:trPr>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Operating System</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macOS 12+ / Ubuntu 20.04+ / Windows 10+</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hint="default"/>
                <w:shd w:val="nil" w:color="auto" w:fill="auto"/>
                <w:rtl w:val="0"/>
                <w:lang w:val="en-US"/>
              </w:rPr>
              <w:t>—</w:t>
            </w:r>
          </w:p>
        </w:tc>
      </w:tr>
      <w:tr>
        <w:tblPrEx>
          <w:shd w:val="clear" w:color="auto" w:fill="ced7e7"/>
        </w:tblPrEx>
        <w:trPr>
          <w:trHeight w:val="241" w:hRule="atLeast"/>
        </w:trPr>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Python</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3.10 or above</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3.11.7</w:t>
            </w:r>
          </w:p>
        </w:tc>
      </w:tr>
      <w:tr>
        <w:tblPrEx>
          <w:shd w:val="clear" w:color="auto" w:fill="ced7e7"/>
        </w:tblPrEx>
        <w:trPr>
          <w:trHeight w:val="241" w:hRule="atLeast"/>
        </w:trPr>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Node.js</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18+</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20 LTS</w:t>
            </w:r>
          </w:p>
        </w:tc>
      </w:tr>
      <w:tr>
        <w:tblPrEx>
          <w:shd w:val="clear" w:color="auto" w:fill="ced7e7"/>
        </w:tblPrEx>
        <w:trPr>
          <w:trHeight w:val="241" w:hRule="atLeast"/>
        </w:trPr>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FastAPI</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0.104+</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0.115</w:t>
            </w:r>
          </w:p>
        </w:tc>
      </w:tr>
      <w:tr>
        <w:tblPrEx>
          <w:shd w:val="clear" w:color="auto" w:fill="ced7e7"/>
        </w:tblPrEx>
        <w:trPr>
          <w:trHeight w:val="241" w:hRule="atLeast"/>
        </w:trPr>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XGBoost</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1.7+</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2.0</w:t>
            </w:r>
          </w:p>
        </w:tc>
      </w:tr>
      <w:tr>
        <w:tblPrEx>
          <w:shd w:val="clear" w:color="auto" w:fill="ced7e7"/>
        </w:tblPrEx>
        <w:trPr>
          <w:trHeight w:val="241" w:hRule="atLeast"/>
        </w:trPr>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scikit-learn</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1.3+</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1.4</w:t>
            </w:r>
          </w:p>
        </w:tc>
      </w:tr>
      <w:tr>
        <w:tblPrEx>
          <w:shd w:val="clear" w:color="auto" w:fill="ced7e7"/>
        </w:tblPrEx>
        <w:trPr>
          <w:trHeight w:val="241" w:hRule="atLeast"/>
        </w:trPr>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SHAP</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0.43+</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0.44</w:t>
            </w:r>
          </w:p>
        </w:tc>
      </w:tr>
      <w:tr>
        <w:tblPrEx>
          <w:shd w:val="clear" w:color="auto" w:fill="ced7e7"/>
        </w:tblPrEx>
        <w:trPr>
          <w:trHeight w:val="241" w:hRule="atLeast"/>
        </w:trPr>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FAISS-CPU</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1.7+</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1.8</w:t>
            </w:r>
          </w:p>
        </w:tc>
      </w:tr>
      <w:tr>
        <w:tblPrEx>
          <w:shd w:val="clear" w:color="auto" w:fill="ced7e7"/>
        </w:tblPrEx>
        <w:trPr>
          <w:trHeight w:val="241" w:hRule="atLeast"/>
        </w:trPr>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sentence-transformers</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2.2+</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2.7</w:t>
            </w:r>
          </w:p>
        </w:tc>
      </w:tr>
      <w:tr>
        <w:tblPrEx>
          <w:shd w:val="clear" w:color="auto" w:fill="ced7e7"/>
        </w:tblPrEx>
        <w:trPr>
          <w:trHeight w:val="241" w:hRule="atLeast"/>
        </w:trPr>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React</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18+</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18.2</w:t>
            </w:r>
          </w:p>
        </w:tc>
      </w:tr>
      <w:tr>
        <w:tblPrEx>
          <w:shd w:val="clear" w:color="auto" w:fill="ced7e7"/>
        </w:tblPrEx>
        <w:trPr>
          <w:trHeight w:val="241" w:hRule="atLeast"/>
        </w:trPr>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Groq API</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Cloud service</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llama-3.3-70b-versatile</w:t>
            </w:r>
          </w:p>
        </w:tc>
      </w:tr>
      <w:tr>
        <w:tblPrEx>
          <w:shd w:val="clear" w:color="auto" w:fill="ced7e7"/>
        </w:tblPrEx>
        <w:trPr>
          <w:trHeight w:val="241" w:hRule="atLeast"/>
        </w:trPr>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SQLite</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3.36+</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For caching</w:t>
            </w:r>
          </w:p>
        </w:tc>
      </w:tr>
      <w:tr>
        <w:tblPrEx>
          <w:shd w:val="clear" w:color="auto" w:fill="ced7e7"/>
        </w:tblPrEx>
        <w:trPr>
          <w:trHeight w:val="241" w:hRule="atLeast"/>
        </w:trPr>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Git</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2.30+</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For version control</w:t>
            </w:r>
          </w:p>
        </w:tc>
      </w:tr>
    </w:tbl>
    <w:p>
      <w:pPr>
        <w:pStyle w:val="Body"/>
        <w:widowControl w:val="0"/>
        <w:spacing w:line="240" w:lineRule="auto"/>
        <w:jc w:val="center"/>
      </w:pPr>
    </w:p>
    <w:p>
      <w:pPr>
        <w:pStyle w:val="Body"/>
        <w:spacing w:before="240" w:after="120"/>
      </w:pPr>
    </w:p>
    <w:p>
      <w:pPr>
        <w:pStyle w:val="Body"/>
        <w:spacing w:before="240" w:after="120"/>
      </w:pPr>
      <w:r>
        <w:rPr>
          <w:rFonts w:ascii="Times New Roman" w:hAnsi="Times New Roman"/>
          <w:b w:val="1"/>
          <w:bCs w:val="1"/>
          <w:sz w:val="24"/>
          <w:szCs w:val="24"/>
          <w:rtl w:val="0"/>
          <w:lang w:val="en-US"/>
        </w:rPr>
        <w:t>3.3 Functional Requirements</w:t>
      </w:r>
    </w:p>
    <w:p>
      <w:pPr>
        <w:pStyle w:val="Body"/>
        <w:spacing w:after="120" w:line="360" w:lineRule="auto"/>
        <w:jc w:val="both"/>
      </w:pPr>
      <w:r>
        <w:rPr>
          <w:rFonts w:ascii="Times New Roman" w:hAnsi="Times New Roman"/>
          <w:sz w:val="24"/>
          <w:szCs w:val="24"/>
          <w:rtl w:val="0"/>
          <w:lang w:val="en-US"/>
        </w:rPr>
        <w:t>Table 3.3 presents the functional requirements of the system.</w:t>
      </w:r>
    </w:p>
    <w:p>
      <w:pPr>
        <w:pStyle w:val="Body"/>
        <w:jc w:val="center"/>
      </w:pPr>
      <w:r>
        <w:rPr>
          <w:rFonts w:ascii="Times New Roman" w:hAnsi="Times New Roman"/>
          <w:b w:val="1"/>
          <w:bCs w:val="1"/>
          <w:sz w:val="24"/>
          <w:szCs w:val="24"/>
          <w:rtl w:val="0"/>
          <w:lang w:val="en-US"/>
        </w:rPr>
        <w:t>Table 3.3: Functional Requirements</w:t>
      </w:r>
    </w:p>
    <w:tbl>
      <w:tblPr>
        <w:tblW w:w="8787"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29"/>
        <w:gridCol w:w="2929"/>
        <w:gridCol w:w="2929"/>
      </w:tblGrid>
      <w:tr>
        <w:tblPrEx>
          <w:shd w:val="clear" w:color="auto" w:fill="ced7e7"/>
        </w:tblPrEx>
        <w:trPr>
          <w:trHeight w:val="222" w:hRule="atLeast"/>
        </w:trPr>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b w:val="1"/>
                <w:bCs w:val="1"/>
                <w:sz w:val="20"/>
                <w:szCs w:val="20"/>
                <w:shd w:val="nil" w:color="auto" w:fill="auto"/>
                <w:rtl w:val="0"/>
                <w:lang w:val="en-US"/>
              </w:rPr>
              <w:t>ID</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b w:val="1"/>
                <w:bCs w:val="1"/>
                <w:sz w:val="20"/>
                <w:szCs w:val="20"/>
                <w:shd w:val="nil" w:color="auto" w:fill="auto"/>
                <w:rtl w:val="0"/>
                <w:lang w:val="en-US"/>
              </w:rPr>
              <w:t>Requirement</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b w:val="1"/>
                <w:bCs w:val="1"/>
                <w:sz w:val="20"/>
                <w:szCs w:val="20"/>
                <w:shd w:val="nil" w:color="auto" w:fill="auto"/>
                <w:rtl w:val="0"/>
                <w:lang w:val="en-US"/>
              </w:rPr>
              <w:t>Description</w:t>
            </w:r>
          </w:p>
        </w:tc>
      </w:tr>
      <w:tr>
        <w:tblPrEx>
          <w:shd w:val="clear" w:color="auto" w:fill="ced7e7"/>
        </w:tblPrEx>
        <w:trPr>
          <w:trHeight w:val="1322" w:hRule="atLeast"/>
        </w:trPr>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FR-01</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Variant Input</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The system shall accept variant input including gene symbol, chromosome, reference allele, alternate allele, molecular consequence, variant type, review status, and origin.</w:t>
            </w:r>
          </w:p>
        </w:tc>
      </w:tr>
      <w:tr>
        <w:tblPrEx>
          <w:shd w:val="clear" w:color="auto" w:fill="ced7e7"/>
        </w:tblPrEx>
        <w:trPr>
          <w:trHeight w:val="882" w:hRule="atLeast"/>
        </w:trPr>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FR-02</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ML Prediction</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The system shall classify each variant as Pathogenic or Benign with a calibrated pathogenic probability.</w:t>
            </w:r>
          </w:p>
        </w:tc>
      </w:tr>
      <w:tr>
        <w:tblPrEx>
          <w:shd w:val="clear" w:color="auto" w:fill="ced7e7"/>
        </w:tblPrEx>
        <w:trPr>
          <w:trHeight w:val="662" w:hRule="atLeast"/>
        </w:trPr>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FR-03</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SHAP Explanation</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The system shall generate SHAP-based feature attributions for each prediction.</w:t>
            </w:r>
          </w:p>
        </w:tc>
      </w:tr>
      <w:tr>
        <w:tblPrEx>
          <w:shd w:val="clear" w:color="auto" w:fill="ced7e7"/>
        </w:tblPrEx>
        <w:trPr>
          <w:trHeight w:val="882" w:hRule="atLeast"/>
        </w:trPr>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FR-04</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ACMG Classification</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The system shall evaluate 14 ACMG/AMP criteria and produce a five-tier classification with Tavtigian scoring.</w:t>
            </w:r>
          </w:p>
        </w:tc>
      </w:tr>
      <w:tr>
        <w:tblPrEx>
          <w:shd w:val="clear" w:color="auto" w:fill="ced7e7"/>
        </w:tblPrEx>
        <w:trPr>
          <w:trHeight w:val="882" w:hRule="atLeast"/>
        </w:trPr>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FR-05</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ClinVar Retrieval</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The system shall retrieve variant classifications from ClinVar and integrate them into PP5/BP6 criteria.</w:t>
            </w:r>
          </w:p>
        </w:tc>
      </w:tr>
      <w:tr>
        <w:tblPrEx>
          <w:shd w:val="clear" w:color="auto" w:fill="ced7e7"/>
        </w:tblPrEx>
        <w:trPr>
          <w:trHeight w:val="662" w:hRule="atLeast"/>
        </w:trPr>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FR-06</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gnomAD Retrieval</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The system shall retrieve population allele frequency data and apply PM2/BA1/BS1 criteria.</w:t>
            </w:r>
          </w:p>
        </w:tc>
      </w:tr>
      <w:tr>
        <w:tblPrEx>
          <w:shd w:val="clear" w:color="auto" w:fill="ced7e7"/>
        </w:tblPrEx>
        <w:trPr>
          <w:trHeight w:val="662" w:hRule="atLeast"/>
        </w:trPr>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FR-07</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Literature Retrieval</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The system shall retrieve relevant PubMed abstracts via FAISS semantic search.</w:t>
            </w:r>
          </w:p>
        </w:tc>
      </w:tr>
      <w:tr>
        <w:tblPrEx>
          <w:shd w:val="clear" w:color="auto" w:fill="ced7e7"/>
        </w:tblPrEx>
        <w:trPr>
          <w:trHeight w:val="882" w:hRule="atLeast"/>
        </w:trPr>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FR-08</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RAG Narrative</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The system shall generate a structured clinical narrative report using an LLM conditioned on retrieved evidence.</w:t>
            </w:r>
          </w:p>
        </w:tc>
      </w:tr>
      <w:tr>
        <w:tblPrEx>
          <w:shd w:val="clear" w:color="auto" w:fill="ced7e7"/>
        </w:tblPrEx>
        <w:trPr>
          <w:trHeight w:val="662" w:hRule="atLeast"/>
        </w:trPr>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FR-09</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Confidence Routing</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The system shall identify uncertain predictions and trigger additional evidence resolution.</w:t>
            </w:r>
          </w:p>
        </w:tc>
      </w:tr>
      <w:tr>
        <w:tblPrEx>
          <w:shd w:val="clear" w:color="auto" w:fill="ced7e7"/>
        </w:tblPrEx>
        <w:trPr>
          <w:trHeight w:val="662" w:hRule="atLeast"/>
        </w:trPr>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FR-10</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Contradiction Detection</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The system shall identify and report contradictions between evidence sources.</w:t>
            </w:r>
          </w:p>
        </w:tc>
      </w:tr>
      <w:tr>
        <w:tblPrEx>
          <w:shd w:val="clear" w:color="auto" w:fill="ced7e7"/>
        </w:tblPrEx>
        <w:trPr>
          <w:trHeight w:val="662" w:hRule="atLeast"/>
        </w:trPr>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FR-11</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Chat Interface</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The system shall support a conversational interface for follow-up clinical queries.</w:t>
            </w:r>
          </w:p>
        </w:tc>
      </w:tr>
      <w:tr>
        <w:tblPrEx>
          <w:shd w:val="clear" w:color="auto" w:fill="ced7e7"/>
        </w:tblPrEx>
        <w:trPr>
          <w:trHeight w:val="662" w:hRule="atLeast"/>
        </w:trPr>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FR-12</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Gene/Consequence Lists</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The system shall expose the supported gene panel and consequence types via API.</w:t>
            </w:r>
          </w:p>
        </w:tc>
      </w:tr>
    </w:tbl>
    <w:p>
      <w:pPr>
        <w:pStyle w:val="Body"/>
        <w:widowControl w:val="0"/>
        <w:spacing w:line="240" w:lineRule="auto"/>
        <w:jc w:val="center"/>
      </w:pPr>
    </w:p>
    <w:p>
      <w:pPr>
        <w:pStyle w:val="Body"/>
        <w:widowControl w:val="0"/>
        <w:spacing w:line="240" w:lineRule="auto"/>
        <w:jc w:val="center"/>
      </w:pPr>
    </w:p>
    <w:p>
      <w:pPr>
        <w:pStyle w:val="Body"/>
        <w:widowControl w:val="0"/>
        <w:spacing w:line="240" w:lineRule="auto"/>
        <w:jc w:val="center"/>
      </w:pPr>
    </w:p>
    <w:p>
      <w:pPr>
        <w:pStyle w:val="Body"/>
        <w:spacing w:before="240" w:after="120"/>
      </w:pPr>
      <w:r>
        <w:rPr>
          <w:rFonts w:ascii="Times New Roman" w:hAnsi="Times New Roman"/>
          <w:b w:val="1"/>
          <w:bCs w:val="1"/>
          <w:sz w:val="24"/>
          <w:szCs w:val="24"/>
          <w:rtl w:val="0"/>
          <w:lang w:val="en-US"/>
        </w:rPr>
        <w:t>3.4 Non-Functional Requirements</w:t>
      </w:r>
    </w:p>
    <w:p>
      <w:pPr>
        <w:pStyle w:val="Body"/>
        <w:jc w:val="center"/>
      </w:pPr>
      <w:r>
        <w:rPr>
          <w:rFonts w:ascii="Times New Roman" w:hAnsi="Times New Roman"/>
          <w:b w:val="1"/>
          <w:bCs w:val="1"/>
          <w:sz w:val="24"/>
          <w:szCs w:val="24"/>
          <w:rtl w:val="0"/>
          <w:lang w:val="en-US"/>
        </w:rPr>
        <w:t>Table 3.4: Non-Functional Requirements</w:t>
      </w:r>
    </w:p>
    <w:tbl>
      <w:tblPr>
        <w:tblW w:w="8787"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29"/>
        <w:gridCol w:w="2929"/>
        <w:gridCol w:w="2929"/>
      </w:tblGrid>
      <w:tr>
        <w:tblPrEx>
          <w:shd w:val="clear" w:color="auto" w:fill="ced7e7"/>
        </w:tblPrEx>
        <w:trPr>
          <w:trHeight w:val="222" w:hRule="atLeast"/>
        </w:trPr>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b w:val="1"/>
                <w:bCs w:val="1"/>
                <w:sz w:val="20"/>
                <w:szCs w:val="20"/>
                <w:shd w:val="nil" w:color="auto" w:fill="auto"/>
                <w:rtl w:val="0"/>
                <w:lang w:val="en-US"/>
              </w:rPr>
              <w:t>ID</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b w:val="1"/>
                <w:bCs w:val="1"/>
                <w:sz w:val="20"/>
                <w:szCs w:val="20"/>
                <w:shd w:val="nil" w:color="auto" w:fill="auto"/>
                <w:rtl w:val="0"/>
                <w:lang w:val="en-US"/>
              </w:rPr>
              <w:t>Category</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b w:val="1"/>
                <w:bCs w:val="1"/>
                <w:sz w:val="20"/>
                <w:szCs w:val="20"/>
                <w:shd w:val="nil" w:color="auto" w:fill="auto"/>
                <w:rtl w:val="0"/>
                <w:lang w:val="en-US"/>
              </w:rPr>
              <w:t>Requirement</w:t>
            </w:r>
          </w:p>
        </w:tc>
      </w:tr>
      <w:tr>
        <w:tblPrEx>
          <w:shd w:val="clear" w:color="auto" w:fill="ced7e7"/>
        </w:tblPrEx>
        <w:trPr>
          <w:trHeight w:val="662" w:hRule="atLeast"/>
        </w:trPr>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NFR-01</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Performance</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ML inference latency &lt; 2 seconds per variant; full RAG pipeline &lt; 30 seconds.</w:t>
            </w:r>
          </w:p>
        </w:tc>
      </w:tr>
      <w:tr>
        <w:tblPrEx>
          <w:shd w:val="clear" w:color="auto" w:fill="ced7e7"/>
        </w:tblPrEx>
        <w:trPr>
          <w:trHeight w:val="662" w:hRule="atLeast"/>
        </w:trPr>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NFR-02</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Accuracy</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 xml:space="preserve">ML model accuracy </w:t>
            </w:r>
            <w:r>
              <w:rPr>
                <w:rFonts w:ascii="Times New Roman" w:hAnsi="Times New Roman" w:hint="default"/>
                <w:sz w:val="20"/>
                <w:szCs w:val="20"/>
                <w:shd w:val="nil" w:color="auto" w:fill="auto"/>
                <w:rtl w:val="0"/>
                <w:lang w:val="en-US"/>
              </w:rPr>
              <w:t xml:space="preserve">≥ </w:t>
            </w:r>
            <w:r>
              <w:rPr>
                <w:rFonts w:ascii="Times New Roman" w:hAnsi="Times New Roman"/>
                <w:sz w:val="20"/>
                <w:szCs w:val="20"/>
                <w:shd w:val="nil" w:color="auto" w:fill="auto"/>
                <w:rtl w:val="0"/>
                <w:lang w:val="en-US"/>
              </w:rPr>
              <w:t xml:space="preserve">88%; ACMG classification agreement </w:t>
            </w:r>
            <w:r>
              <w:rPr>
                <w:rFonts w:ascii="Times New Roman" w:hAnsi="Times New Roman" w:hint="default"/>
                <w:sz w:val="20"/>
                <w:szCs w:val="20"/>
                <w:shd w:val="nil" w:color="auto" w:fill="auto"/>
                <w:rtl w:val="0"/>
                <w:lang w:val="en-US"/>
              </w:rPr>
              <w:t xml:space="preserve">≥ </w:t>
            </w:r>
            <w:r>
              <w:rPr>
                <w:rFonts w:ascii="Times New Roman" w:hAnsi="Times New Roman"/>
                <w:sz w:val="20"/>
                <w:szCs w:val="20"/>
                <w:shd w:val="nil" w:color="auto" w:fill="auto"/>
                <w:rtl w:val="0"/>
                <w:lang w:val="en-US"/>
              </w:rPr>
              <w:t>95% on validated variants.</w:t>
            </w:r>
          </w:p>
        </w:tc>
      </w:tr>
      <w:tr>
        <w:tblPrEx>
          <w:shd w:val="clear" w:color="auto" w:fill="ced7e7"/>
        </w:tblPrEx>
        <w:trPr>
          <w:trHeight w:val="442" w:hRule="atLeast"/>
        </w:trPr>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NFR-03</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Reliability</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 xml:space="preserve">System uptime </w:t>
            </w:r>
            <w:r>
              <w:rPr>
                <w:rFonts w:ascii="Times New Roman" w:hAnsi="Times New Roman" w:hint="default"/>
                <w:sz w:val="20"/>
                <w:szCs w:val="20"/>
                <w:shd w:val="nil" w:color="auto" w:fill="auto"/>
                <w:rtl w:val="0"/>
                <w:lang w:val="en-US"/>
              </w:rPr>
              <w:t xml:space="preserve">≥ </w:t>
            </w:r>
            <w:r>
              <w:rPr>
                <w:rFonts w:ascii="Times New Roman" w:hAnsi="Times New Roman"/>
                <w:sz w:val="20"/>
                <w:szCs w:val="20"/>
                <w:shd w:val="nil" w:color="auto" w:fill="auto"/>
                <w:rtl w:val="0"/>
                <w:lang w:val="en-US"/>
              </w:rPr>
              <w:t>99%; zero crashes on malformed input.</w:t>
            </w:r>
          </w:p>
        </w:tc>
      </w:tr>
      <w:tr>
        <w:tblPrEx>
          <w:shd w:val="clear" w:color="auto" w:fill="ced7e7"/>
        </w:tblPrEx>
        <w:trPr>
          <w:trHeight w:val="442" w:hRule="atLeast"/>
        </w:trPr>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NFR-04</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Scalability</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 xml:space="preserve">API must handle </w:t>
            </w:r>
            <w:r>
              <w:rPr>
                <w:rFonts w:ascii="Times New Roman" w:hAnsi="Times New Roman" w:hint="default"/>
                <w:sz w:val="20"/>
                <w:szCs w:val="20"/>
                <w:shd w:val="nil" w:color="auto" w:fill="auto"/>
                <w:rtl w:val="0"/>
                <w:lang w:val="en-US"/>
              </w:rPr>
              <w:t xml:space="preserve">≥ </w:t>
            </w:r>
            <w:r>
              <w:rPr>
                <w:rFonts w:ascii="Times New Roman" w:hAnsi="Times New Roman"/>
                <w:sz w:val="20"/>
                <w:szCs w:val="20"/>
                <w:shd w:val="nil" w:color="auto" w:fill="auto"/>
                <w:rtl w:val="0"/>
                <w:lang w:val="en-US"/>
              </w:rPr>
              <w:t>10 concurrent users without degradation.</w:t>
            </w:r>
          </w:p>
        </w:tc>
      </w:tr>
      <w:tr>
        <w:tblPrEx>
          <w:shd w:val="clear" w:color="auto" w:fill="ced7e7"/>
        </w:tblPrEx>
        <w:trPr>
          <w:trHeight w:val="882" w:hRule="atLeast"/>
        </w:trPr>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NFR-05</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Explainability</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Every prediction must be accompanied by SHAP feature attributions and ACMG criterion justifications.</w:t>
            </w:r>
          </w:p>
        </w:tc>
      </w:tr>
      <w:tr>
        <w:tblPrEx>
          <w:shd w:val="clear" w:color="auto" w:fill="ced7e7"/>
        </w:tblPrEx>
        <w:trPr>
          <w:trHeight w:val="662" w:hRule="atLeast"/>
        </w:trPr>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NFR-06</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Security</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Invalid inputs must return HTTP 422 (not 500); no stack traces in error responses.</w:t>
            </w:r>
          </w:p>
        </w:tc>
      </w:tr>
      <w:tr>
        <w:tblPrEx>
          <w:shd w:val="clear" w:color="auto" w:fill="ced7e7"/>
        </w:tblPrEx>
        <w:trPr>
          <w:trHeight w:val="662" w:hRule="atLeast"/>
        </w:trPr>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NFR-07</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Maintainability</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Codebase must be modular, with each pipeline layer in a separate file.</w:t>
            </w:r>
          </w:p>
        </w:tc>
      </w:tr>
      <w:tr>
        <w:tblPrEx>
          <w:shd w:val="clear" w:color="auto" w:fill="ced7e7"/>
        </w:tblPrEx>
        <w:trPr>
          <w:trHeight w:val="662" w:hRule="atLeast"/>
        </w:trPr>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NFR-08</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Portability</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System must be deployable on macOS, Linux, and Windows via pip install.</w:t>
            </w:r>
          </w:p>
        </w:tc>
      </w:tr>
      <w:tr>
        <w:tblPrEx>
          <w:shd w:val="clear" w:color="auto" w:fill="ced7e7"/>
        </w:tblPrEx>
        <w:trPr>
          <w:trHeight w:val="662" w:hRule="atLeast"/>
        </w:trPr>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NFR-09</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Usability</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Frontend must be accessible to non-specialist clinical staff within 10 minutes of instruction.</w:t>
            </w:r>
          </w:p>
        </w:tc>
      </w:tr>
      <w:tr>
        <w:tblPrEx>
          <w:shd w:val="clear" w:color="auto" w:fill="ced7e7"/>
        </w:tblPrEx>
        <w:trPr>
          <w:trHeight w:val="882" w:hRule="atLeast"/>
        </w:trPr>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NFR-10</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Data Currency</w:t>
            </w:r>
          </w:p>
        </w:tc>
        <w:tc>
          <w:tcPr>
            <w:tcW w:type="dxa" w:w="2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ClinVar and gnomAD data must be cached with a 30-day TTL to balance freshness and performance.</w:t>
            </w:r>
          </w:p>
        </w:tc>
      </w:tr>
    </w:tbl>
    <w:p>
      <w:pPr>
        <w:pStyle w:val="Body"/>
        <w:widowControl w:val="0"/>
        <w:spacing w:line="240" w:lineRule="auto"/>
        <w:jc w:val="center"/>
      </w:pPr>
    </w:p>
    <w:p>
      <w:pPr>
        <w:pStyle w:val="Body"/>
      </w:pPr>
      <w:r>
        <w:rPr>
          <w:rFonts w:ascii="Arial Unicode MS" w:cs="Arial Unicode MS" w:hAnsi="Arial Unicode MS" w:eastAsia="Arial Unicode MS"/>
          <w:b w:val="0"/>
          <w:bCs w:val="0"/>
          <w:i w:val="0"/>
          <w:iCs w:val="0"/>
        </w:rPr>
        <w:br w:type="page"/>
      </w:r>
    </w:p>
    <w:p>
      <w:pPr>
        <w:pStyle w:val="Body"/>
        <w:spacing w:before="360" w:after="0"/>
        <w:jc w:val="right"/>
      </w:pPr>
      <w:r>
        <w:rPr>
          <w:rFonts w:ascii="Times New Roman" w:hAnsi="Times New Roman"/>
          <w:b w:val="1"/>
          <w:bCs w:val="1"/>
          <w:i w:val="1"/>
          <w:iCs w:val="1"/>
          <w:sz w:val="28"/>
          <w:szCs w:val="28"/>
          <w:rtl w:val="0"/>
          <w:lang w:val="nl-NL"/>
        </w:rPr>
        <w:t>Chapter 4</w:t>
      </w:r>
    </w:p>
    <w:p>
      <w:pPr>
        <w:pStyle w:val="Body"/>
        <w:pBdr>
          <w:top w:val="nil"/>
          <w:left w:val="nil"/>
          <w:bottom w:val="single" w:color="aaaaaa" w:sz="6" w:space="0" w:shadow="0" w:frame="0"/>
          <w:right w:val="nil"/>
        </w:pBdr>
        <w:spacing w:before="40" w:after="280"/>
        <w:jc w:val="right"/>
      </w:pPr>
      <w:r>
        <w:rPr>
          <w:rFonts w:ascii="Times New Roman" w:hAnsi="Times New Roman"/>
          <w:b w:val="1"/>
          <w:bCs w:val="1"/>
          <w:sz w:val="28"/>
          <w:szCs w:val="28"/>
          <w:rtl w:val="0"/>
          <w:lang w:val="en-US"/>
        </w:rPr>
        <w:t>TOOLS AND TECHNOLOGY USED</w:t>
      </w:r>
    </w:p>
    <w:p>
      <w:pPr>
        <w:pStyle w:val="Body"/>
        <w:spacing w:after="120" w:line="360" w:lineRule="auto"/>
        <w:jc w:val="both"/>
      </w:pPr>
      <w:r>
        <w:rPr>
          <w:rFonts w:ascii="Times New Roman" w:hAnsi="Times New Roman"/>
          <w:sz w:val="24"/>
          <w:szCs w:val="24"/>
          <w:rtl w:val="0"/>
          <w:lang w:val="en-US"/>
        </w:rPr>
        <w:t>This chapter describes the programming languages, frameworks, libraries, APIs, and development tools used in the implementation of the Epilepsy Variant Diagnostic Assistant.</w:t>
      </w:r>
    </w:p>
    <w:p>
      <w:pPr>
        <w:pStyle w:val="Body"/>
        <w:spacing w:before="240" w:after="120"/>
      </w:pPr>
      <w:r>
        <w:rPr>
          <w:rFonts w:ascii="Times New Roman" w:hAnsi="Times New Roman"/>
          <w:b w:val="1"/>
          <w:bCs w:val="1"/>
          <w:sz w:val="24"/>
          <w:szCs w:val="24"/>
          <w:rtl w:val="0"/>
          <w:lang w:val="de-DE"/>
        </w:rPr>
        <w:t>4.1 Python 3.11</w:t>
      </w:r>
    </w:p>
    <w:p>
      <w:pPr>
        <w:pStyle w:val="Body"/>
        <w:spacing w:after="120" w:line="360" w:lineRule="auto"/>
        <w:jc w:val="both"/>
      </w:pPr>
      <w:r>
        <w:rPr>
          <w:rFonts w:ascii="Times New Roman" w:hAnsi="Times New Roman"/>
          <w:sz w:val="24"/>
          <w:szCs w:val="24"/>
          <w:rtl w:val="0"/>
          <w:lang w:val="en-US"/>
        </w:rPr>
        <w:t>Python 3.11 was selected as the primary backend programming language due to its extensive ecosystem of scientific computing, machine learning, and web development libraries. Python's dynamic typing and interpreted nature accelerated prototyping, while its mature packaging ecosystem (pip, conda) simplified dependency management. Key Python features used include dataclasses, type hints, asyncio for concurrent API calls, and context managers for database connections.</w:t>
      </w:r>
    </w:p>
    <w:p>
      <w:pPr>
        <w:pStyle w:val="Body"/>
        <w:spacing w:before="240" w:after="120"/>
      </w:pPr>
      <w:r>
        <w:rPr>
          <w:rFonts w:ascii="Times New Roman" w:hAnsi="Times New Roman"/>
          <w:b w:val="1"/>
          <w:bCs w:val="1"/>
          <w:sz w:val="24"/>
          <w:szCs w:val="24"/>
          <w:rtl w:val="0"/>
          <w:lang w:val="nl-NL"/>
        </w:rPr>
        <w:t>4.2 XGBoost</w:t>
      </w:r>
    </w:p>
    <w:p>
      <w:pPr>
        <w:pStyle w:val="Body"/>
        <w:spacing w:after="120" w:line="360" w:lineRule="auto"/>
        <w:jc w:val="both"/>
      </w:pPr>
      <w:r>
        <w:rPr>
          <w:rFonts w:ascii="Times New Roman" w:hAnsi="Times New Roman"/>
          <w:sz w:val="24"/>
          <w:szCs w:val="24"/>
          <w:rtl w:val="0"/>
          <w:lang w:val="en-US"/>
        </w:rPr>
        <w:t>XGBoost (eXtreme Gradient Boosting) is a gradient-boosting framework optimised for speed and performance on tabular data. It implements regularised gradient boosting with L1 and L2 regularisation, built-in handling of missing values, and parallel tree construction. The deployed model uses: n_estimators=300, max_depth=8, learning_rate=0.05, subsample=0.8, colsample_bytree=0.8, min_child_weight=3, gamma=0.1, reg_alpha=0.1, reg_lambda=1.0. XGBoost outperformed all other candidate models on the epilepsy variant dataset due to its ability to model complex non-linear interactions between genomic features.</w:t>
      </w:r>
    </w:p>
    <w:p>
      <w:pPr>
        <w:pStyle w:val="Body"/>
        <w:spacing w:before="240" w:after="120"/>
      </w:pPr>
      <w:r>
        <w:rPr>
          <w:rFonts w:ascii="Times New Roman" w:hAnsi="Times New Roman"/>
          <w:b w:val="1"/>
          <w:bCs w:val="1"/>
          <w:sz w:val="24"/>
          <w:szCs w:val="24"/>
          <w:rtl w:val="0"/>
          <w:lang w:val="en-US"/>
        </w:rPr>
        <w:t>4.3 scikit-learn and Isotonic Calibration</w:t>
      </w:r>
    </w:p>
    <w:p>
      <w:pPr>
        <w:pStyle w:val="Body"/>
        <w:spacing w:after="120" w:line="36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 xml:space="preserve">scikit-learn provides the CalibratedClassifierCV wrapper used to apply isotonic regression calibration to the XGBoost model. Calibration ensures that predicted probabilities are statistically reliable </w:t>
      </w:r>
      <w:r>
        <w:rPr>
          <w:rFonts w:ascii="Times New Roman" w:hAnsi="Times New Roman" w:hint="default"/>
          <w:sz w:val="24"/>
          <w:szCs w:val="24"/>
          <w:rtl w:val="0"/>
          <w:lang w:val="en-US"/>
        </w:rPr>
        <w:t xml:space="preserve">— </w:t>
      </w:r>
      <w:r>
        <w:rPr>
          <w:rFonts w:ascii="Times New Roman" w:hAnsi="Times New Roman"/>
          <w:sz w:val="24"/>
          <w:szCs w:val="24"/>
          <w:rtl w:val="0"/>
          <w:lang w:val="en-US"/>
        </w:rPr>
        <w:t>that is, variants predicted with 80% pathogenic probability are truly pathogenic approximately 80% of the time. Isotonic calibration was selected over Platt scaling because the XGBoost probability outputs were found to be non-linearly miscalibrated, and isotonic regression is a non-parametric method that does not assume a specific calibration curve shape.</w:t>
      </w:r>
    </w:p>
    <w:p>
      <w:pPr>
        <w:pStyle w:val="Body"/>
        <w:spacing w:after="120" w:line="360" w:lineRule="auto"/>
        <w:jc w:val="both"/>
      </w:pPr>
    </w:p>
    <w:p>
      <w:pPr>
        <w:pStyle w:val="Body"/>
        <w:spacing w:before="240" w:after="120"/>
      </w:pPr>
      <w:r>
        <w:rPr>
          <w:rFonts w:ascii="Times New Roman" w:hAnsi="Times New Roman"/>
          <w:b w:val="1"/>
          <w:bCs w:val="1"/>
          <w:sz w:val="24"/>
          <w:szCs w:val="24"/>
          <w:rtl w:val="0"/>
          <w:lang w:val="en-US"/>
        </w:rPr>
        <w:t>4.4 SHAP (SHapley Additive exPlanations)</w:t>
      </w:r>
    </w:p>
    <w:p>
      <w:pPr>
        <w:pStyle w:val="Body"/>
        <w:spacing w:after="120" w:line="360" w:lineRule="auto"/>
        <w:jc w:val="both"/>
      </w:pPr>
      <w:r>
        <w:rPr>
          <w:rFonts w:ascii="Times New Roman" w:hAnsi="Times New Roman"/>
          <w:sz w:val="24"/>
          <w:szCs w:val="24"/>
          <w:rtl w:val="0"/>
          <w:lang w:val="en-US"/>
        </w:rPr>
        <w:t xml:space="preserve">SHAP is used for generating per-prediction feature attributions via the TreeSHAP algorithm. SHAP values satisfy the properties of local accuracy (attributions sum to the prediction), missingness (zero attribution for absent features), and consistency (monotonicity with model behavior). In the system, SHAP attributions are translated into clinical language using a feature description dictionary and mapped to ACMG criteria: if the top contributor drives pathogenic prediction with </w:t>
      </w:r>
      <w:r>
        <w:rPr>
          <w:rFonts w:ascii="Times New Roman" w:hAnsi="Times New Roman" w:hint="default"/>
          <w:sz w:val="24"/>
          <w:szCs w:val="24"/>
          <w:rtl w:val="0"/>
          <w:lang w:val="en-US"/>
        </w:rPr>
        <w:t>≥</w:t>
      </w:r>
      <w:r>
        <w:rPr>
          <w:rFonts w:ascii="Times New Roman" w:hAnsi="Times New Roman"/>
          <w:sz w:val="24"/>
          <w:szCs w:val="24"/>
          <w:rtl w:val="0"/>
          <w:lang w:val="en-US"/>
        </w:rPr>
        <w:t>15% contribution, PP3 is activated; if it drives benign prediction, BP4 is activated.</w:t>
      </w:r>
    </w:p>
    <w:p>
      <w:pPr>
        <w:pStyle w:val="Body"/>
        <w:spacing w:before="240" w:after="120"/>
      </w:pPr>
      <w:r>
        <w:rPr>
          <w:rFonts w:ascii="Times New Roman" w:hAnsi="Times New Roman"/>
          <w:b w:val="1"/>
          <w:bCs w:val="1"/>
          <w:sz w:val="24"/>
          <w:szCs w:val="24"/>
          <w:rtl w:val="0"/>
        </w:rPr>
        <w:t>4.5 FastAPI</w:t>
      </w:r>
    </w:p>
    <w:p>
      <w:pPr>
        <w:pStyle w:val="Body"/>
        <w:spacing w:after="120" w:line="360" w:lineRule="auto"/>
        <w:jc w:val="both"/>
      </w:pPr>
      <w:r>
        <w:rPr>
          <w:rFonts w:ascii="Times New Roman" w:hAnsi="Times New Roman"/>
          <w:sz w:val="24"/>
          <w:szCs w:val="24"/>
          <w:rtl w:val="0"/>
          <w:lang w:val="en-US"/>
        </w:rPr>
        <w:t>FastAPI is a modern, high-performance Python web framework for building APIs with automatic data validation via Pydantic, automatic OpenAPI documentation generation, and asynchronous request handling. The backend exposes eight endpoints: /health, /predict_variant, /analyze_variant, /explain_variant, /chat, /literature/{gene}, /genes, and /consequences. FastAPI's Pydantic integration provides Layer 1 input validation, rejecting malformed requests with HTTP 422 before they reach the ML pipeline.</w:t>
      </w:r>
    </w:p>
    <w:p>
      <w:pPr>
        <w:pStyle w:val="Body"/>
        <w:spacing w:before="240" w:after="120"/>
      </w:pPr>
      <w:r>
        <w:rPr>
          <w:rFonts w:ascii="Times New Roman" w:hAnsi="Times New Roman"/>
          <w:b w:val="1"/>
          <w:bCs w:val="1"/>
          <w:sz w:val="24"/>
          <w:szCs w:val="24"/>
          <w:rtl w:val="0"/>
          <w:lang w:val="en-US"/>
        </w:rPr>
        <w:t>4.6 FAISS (Facebook AI Similarity Search)</w:t>
      </w:r>
    </w:p>
    <w:p>
      <w:pPr>
        <w:pStyle w:val="Body"/>
        <w:spacing w:after="120" w:line="360" w:lineRule="auto"/>
        <w:jc w:val="both"/>
      </w:pPr>
      <w:r>
        <w:rPr>
          <w:rFonts w:ascii="Times New Roman" w:hAnsi="Times New Roman"/>
          <w:sz w:val="24"/>
          <w:szCs w:val="24"/>
          <w:rtl w:val="0"/>
          <w:lang w:val="en-US"/>
        </w:rPr>
        <w:t>FAISS is a library for efficient similarity search in high-dimensional vector spaces. In this project, a FAISS flat L2 index stores 363 PubMed abstract embeddings (768-dimensional PubMedBERT vectors). During variant analysis, the gene name is used as a query to retrieve the top-5 most semantically similar abstracts, which are included in the LLM context window for RAG generation. FAISS enables sub-millisecond retrieval over the full index.</w:t>
      </w:r>
    </w:p>
    <w:p>
      <w:pPr>
        <w:pStyle w:val="Body"/>
        <w:spacing w:before="240" w:after="120"/>
      </w:pPr>
      <w:r>
        <w:rPr>
          <w:rFonts w:ascii="Times New Roman" w:hAnsi="Times New Roman"/>
          <w:b w:val="1"/>
          <w:bCs w:val="1"/>
          <w:sz w:val="24"/>
          <w:szCs w:val="24"/>
          <w:rtl w:val="0"/>
          <w:lang w:val="de-DE"/>
        </w:rPr>
        <w:t>4.7 Sentence Transformers (PubMedBERT)</w:t>
      </w:r>
    </w:p>
    <w:p>
      <w:pPr>
        <w:pStyle w:val="Body"/>
        <w:spacing w:after="120" w:line="36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The sentence-transformers library is used to generate dense vector embeddings for literature retrieval. The embedding model pritamdeka/S-PubMedBert-MS-MARCO is fine-tuned on PubMed text using the MS-MARCO passage ranking dataset, producing embeddings that capture biomedical semantic similarity. This model was selected over general-purpose embedding models (e.g., all-MiniLM-L6-v2) due to its superior performance on biomedical text retrieval tasks.</w:t>
      </w:r>
    </w:p>
    <w:p>
      <w:pPr>
        <w:pStyle w:val="Body"/>
        <w:spacing w:after="120" w:line="360" w:lineRule="auto"/>
        <w:jc w:val="both"/>
      </w:pPr>
    </w:p>
    <w:p>
      <w:pPr>
        <w:pStyle w:val="Body"/>
        <w:spacing w:before="240" w:after="120"/>
      </w:pPr>
      <w:r>
        <w:rPr>
          <w:rFonts w:ascii="Times New Roman" w:hAnsi="Times New Roman"/>
          <w:b w:val="1"/>
          <w:bCs w:val="1"/>
          <w:sz w:val="24"/>
          <w:szCs w:val="24"/>
          <w:rtl w:val="0"/>
        </w:rPr>
        <w:t>4.8 ClinVar REST API</w:t>
      </w:r>
    </w:p>
    <w:p>
      <w:pPr>
        <w:pStyle w:val="Body"/>
        <w:spacing w:after="120" w:line="360" w:lineRule="auto"/>
        <w:jc w:val="both"/>
      </w:pPr>
      <w:r>
        <w:rPr>
          <w:rFonts w:ascii="Times New Roman" w:hAnsi="Times New Roman"/>
          <w:sz w:val="24"/>
          <w:szCs w:val="24"/>
          <w:rtl w:val="0"/>
          <w:lang w:val="en-US"/>
        </w:rPr>
        <w:t>The NCBI ClinVar REST API (eutils.ncbi.nlm.nih.gov) is queried to retrieve clinical significance classifications for variants in the same gene. The fetcher implements SQLite-based caching with a 30-day TTL, exponential backoff for rate limit handling, and review star extraction from structured ClinVar summary XML. ClinVar data drives the PP5 (pathogenic ClinVar classification) and BP6 (benign ClinVar classification) ACMG criteria.</w:t>
      </w:r>
    </w:p>
    <w:p>
      <w:pPr>
        <w:pStyle w:val="Body"/>
        <w:spacing w:before="240" w:after="120"/>
      </w:pPr>
      <w:r>
        <w:rPr>
          <w:rFonts w:ascii="Times New Roman" w:hAnsi="Times New Roman"/>
          <w:b w:val="1"/>
          <w:bCs w:val="1"/>
          <w:sz w:val="24"/>
          <w:szCs w:val="24"/>
          <w:rtl w:val="0"/>
        </w:rPr>
        <w:t>4.9 gnomAD GraphQL API</w:t>
      </w:r>
    </w:p>
    <w:p>
      <w:pPr>
        <w:pStyle w:val="Body"/>
        <w:spacing w:after="120" w:line="360" w:lineRule="auto"/>
        <w:jc w:val="both"/>
      </w:pPr>
      <w:r>
        <w:rPr>
          <w:rFonts w:ascii="Times New Roman" w:hAnsi="Times New Roman"/>
          <w:sz w:val="24"/>
          <w:szCs w:val="24"/>
          <w:rtl w:val="0"/>
          <w:lang w:val="en-US"/>
        </w:rPr>
        <w:t>The gnomAD GraphQL API (gnomad.broadinstitute.org/api) provides population allele frequency data. GraphQL queries are used to retrieve allele count, allele number, allele frequency, and homozygote count for specific variants. The gnomAD fetcher classifies variants as absent (0 alleles), ultra-rare (AF &lt; 1</w:t>
      </w:r>
      <w:r>
        <w:rPr>
          <w:rFonts w:ascii="Times New Roman" w:hAnsi="Times New Roman" w:hint="default"/>
          <w:sz w:val="24"/>
          <w:szCs w:val="24"/>
          <w:rtl w:val="0"/>
          <w:lang w:val="en-US"/>
        </w:rPr>
        <w:t>×</w:t>
      </w:r>
      <w:r>
        <w:rPr>
          <w:rFonts w:ascii="Times New Roman" w:hAnsi="Times New Roman"/>
          <w:sz w:val="24"/>
          <w:szCs w:val="24"/>
          <w:rtl w:val="0"/>
        </w:rPr>
        <w:t>10</w:t>
      </w:r>
      <w:r>
        <w:rPr>
          <w:rFonts w:ascii="Arial Unicode MS" w:cs="Arial Unicode MS" w:hAnsi="Arial Unicode MS" w:eastAsia="Arial Unicode MS" w:hint="default"/>
          <w:b w:val="0"/>
          <w:bCs w:val="0"/>
          <w:i w:val="0"/>
          <w:iCs w:val="0"/>
          <w:sz w:val="24"/>
          <w:szCs w:val="24"/>
          <w:rtl w:val="0"/>
          <w:lang w:val="en-US"/>
        </w:rPr>
        <w:t>⁻⁵</w:t>
      </w:r>
      <w:r>
        <w:rPr>
          <w:rFonts w:ascii="Times New Roman" w:hAnsi="Times New Roman"/>
          <w:sz w:val="24"/>
          <w:szCs w:val="24"/>
          <w:rtl w:val="0"/>
          <w:lang w:val="en-US"/>
        </w:rPr>
        <w:t xml:space="preserve">), rare (AF &lt; 0.001), or common (AF </w:t>
      </w:r>
      <w:r>
        <w:rPr>
          <w:rFonts w:ascii="Times New Roman" w:hAnsi="Times New Roman" w:hint="default"/>
          <w:sz w:val="24"/>
          <w:szCs w:val="24"/>
          <w:rtl w:val="0"/>
          <w:lang w:val="en-US"/>
        </w:rPr>
        <w:t xml:space="preserve">≥ </w:t>
      </w:r>
      <w:r>
        <w:rPr>
          <w:rFonts w:ascii="Times New Roman" w:hAnsi="Times New Roman"/>
          <w:sz w:val="24"/>
          <w:szCs w:val="24"/>
          <w:rtl w:val="0"/>
          <w:lang w:val="en-US"/>
        </w:rPr>
        <w:t>0.01), mapping these classifications to ACMG criteria PM2, BA1, BS1, and BS2.</w:t>
      </w:r>
    </w:p>
    <w:p>
      <w:pPr>
        <w:pStyle w:val="Body"/>
        <w:spacing w:before="240" w:after="120"/>
      </w:pPr>
      <w:r>
        <w:rPr>
          <w:rFonts w:ascii="Times New Roman" w:hAnsi="Times New Roman"/>
          <w:b w:val="1"/>
          <w:bCs w:val="1"/>
          <w:sz w:val="24"/>
          <w:szCs w:val="24"/>
          <w:rtl w:val="0"/>
          <w:lang w:val="it-IT"/>
        </w:rPr>
        <w:t>4.10 Groq API (LLM)</w:t>
      </w:r>
    </w:p>
    <w:p>
      <w:pPr>
        <w:pStyle w:val="Body"/>
        <w:spacing w:after="120" w:line="360" w:lineRule="auto"/>
        <w:jc w:val="both"/>
      </w:pPr>
      <w:r>
        <w:rPr>
          <w:rFonts w:ascii="Times New Roman" w:hAnsi="Times New Roman"/>
          <w:sz w:val="24"/>
          <w:szCs w:val="24"/>
          <w:rtl w:val="0"/>
          <w:lang w:val="en-US"/>
        </w:rPr>
        <w:t>The Groq API provides inference for the llama-3.3-70b-versatile large language model, used to generate the RAG clinical narrative. The LLM receives a structured prompt containing the variant details, ACMG classification, SHAP attributions, ClinVar data, gnomAD data, retrieved PubMed abstracts, and PharmGKB information. The system prompt restricts the LLM to epilepsy genetics scope, preventing hallucination of out-of-domain content.</w:t>
      </w:r>
    </w:p>
    <w:p>
      <w:pPr>
        <w:pStyle w:val="Body"/>
        <w:spacing w:before="240" w:after="120"/>
      </w:pPr>
      <w:r>
        <w:rPr>
          <w:rFonts w:ascii="Times New Roman" w:hAnsi="Times New Roman"/>
          <w:b w:val="1"/>
          <w:bCs w:val="1"/>
          <w:sz w:val="24"/>
          <w:szCs w:val="24"/>
          <w:rtl w:val="0"/>
          <w:lang w:val="en-US"/>
        </w:rPr>
        <w:t>4.11 React and TypeScript (Frontend)</w:t>
      </w:r>
    </w:p>
    <w:p>
      <w:pPr>
        <w:pStyle w:val="Body"/>
        <w:spacing w:after="120" w:line="36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The frontend is built with React 18 and TypeScript, providing a type-safe, component-based user interface. Key components include VariantForm (input), ResultCard (ML prediction display), ACMGPanel (ACMG classification), SHAPPanel (feature attribution), and ChatInterface (conversational Q&amp;A). Tailwind CSS is used for styling. The frontend communicates with the FastAPI backend via RESTful HTTP requests using the Fetch API.</w:t>
      </w:r>
    </w:p>
    <w:p>
      <w:pPr>
        <w:pStyle w:val="Body"/>
        <w:spacing w:after="120" w:line="360" w:lineRule="auto"/>
        <w:jc w:val="both"/>
        <w:rPr>
          <w:rFonts w:ascii="Times New Roman" w:cs="Times New Roman" w:hAnsi="Times New Roman" w:eastAsia="Times New Roman"/>
          <w:sz w:val="24"/>
          <w:szCs w:val="24"/>
        </w:rPr>
      </w:pPr>
    </w:p>
    <w:p>
      <w:pPr>
        <w:pStyle w:val="Body"/>
        <w:spacing w:after="120" w:line="360" w:lineRule="auto"/>
        <w:jc w:val="both"/>
      </w:pPr>
    </w:p>
    <w:p>
      <w:pPr>
        <w:pStyle w:val="Body"/>
        <w:spacing w:before="240" w:after="120"/>
      </w:pPr>
      <w:r>
        <w:rPr>
          <w:rFonts w:ascii="Times New Roman" w:hAnsi="Times New Roman"/>
          <w:b w:val="1"/>
          <w:bCs w:val="1"/>
          <w:sz w:val="24"/>
          <w:szCs w:val="24"/>
          <w:rtl w:val="0"/>
          <w:lang w:val="de-DE"/>
        </w:rPr>
        <w:t>4.12 PharmGKB API</w:t>
      </w:r>
    </w:p>
    <w:p>
      <w:pPr>
        <w:pStyle w:val="Body"/>
        <w:spacing w:after="120" w:line="360" w:lineRule="auto"/>
        <w:jc w:val="both"/>
      </w:pPr>
      <w:r>
        <w:rPr>
          <w:rFonts w:ascii="Times New Roman" w:hAnsi="Times New Roman"/>
          <w:sz w:val="24"/>
          <w:szCs w:val="24"/>
          <w:rtl w:val="0"/>
          <w:lang w:val="en-US"/>
        </w:rPr>
        <w:t xml:space="preserve">PharmGKB is queried for pharmacogenomics annotations </w:t>
      </w:r>
      <w:r>
        <w:rPr>
          <w:rFonts w:ascii="Times New Roman" w:hAnsi="Times New Roman" w:hint="default"/>
          <w:sz w:val="24"/>
          <w:szCs w:val="24"/>
          <w:rtl w:val="0"/>
          <w:lang w:val="en-US"/>
        </w:rPr>
        <w:t xml:space="preserve">— </w:t>
      </w:r>
      <w:r>
        <w:rPr>
          <w:rFonts w:ascii="Times New Roman" w:hAnsi="Times New Roman"/>
          <w:sz w:val="24"/>
          <w:szCs w:val="24"/>
          <w:rtl w:val="0"/>
          <w:lang w:val="en-US"/>
        </w:rPr>
        <w:t>specifically, gene-drug relationships relevant to anti-epileptic drug selection. This data is included in the RAG context when available, enabling the system to flag variants with drug-response implications alongside their pathogenicity classification.</w:t>
      </w:r>
    </w:p>
    <w:p>
      <w:pPr>
        <w:pStyle w:val="Body"/>
        <w:jc w:val="center"/>
      </w:pPr>
      <w:r>
        <w:rPr>
          <w:rFonts w:ascii="Times New Roman" w:hAnsi="Times New Roman"/>
          <w:b w:val="1"/>
          <w:bCs w:val="1"/>
          <w:sz w:val="24"/>
          <w:szCs w:val="24"/>
          <w:rtl w:val="0"/>
          <w:lang w:val="en-US"/>
        </w:rPr>
        <w:t>Table 4.1: Summary of Tools and Technologies</w:t>
      </w:r>
    </w:p>
    <w:tbl>
      <w:tblPr>
        <w:tblW w:w="8788"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394"/>
        <w:gridCol w:w="4394"/>
      </w:tblGrid>
      <w:tr>
        <w:tblPrEx>
          <w:shd w:val="clear" w:color="auto" w:fill="ced7e7"/>
        </w:tblPrEx>
        <w:trPr>
          <w:trHeight w:val="241" w:hRule="atLeast"/>
        </w:trPr>
        <w:tc>
          <w:tcPr>
            <w:tcW w:type="dxa" w:w="4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b w:val="1"/>
                <w:bCs w:val="1"/>
                <w:shd w:val="nil" w:color="auto" w:fill="auto"/>
                <w:rtl w:val="0"/>
                <w:lang w:val="en-US"/>
              </w:rPr>
              <w:t>Tool / Technology</w:t>
            </w:r>
          </w:p>
        </w:tc>
        <w:tc>
          <w:tcPr>
            <w:tcW w:type="dxa" w:w="4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b w:val="1"/>
                <w:bCs w:val="1"/>
                <w:shd w:val="nil" w:color="auto" w:fill="auto"/>
                <w:rtl w:val="0"/>
                <w:lang w:val="en-US"/>
              </w:rPr>
              <w:t>Purpose</w:t>
            </w:r>
          </w:p>
        </w:tc>
      </w:tr>
      <w:tr>
        <w:tblPrEx>
          <w:shd w:val="clear" w:color="auto" w:fill="ced7e7"/>
        </w:tblPrEx>
        <w:trPr>
          <w:trHeight w:val="241" w:hRule="atLeast"/>
        </w:trPr>
        <w:tc>
          <w:tcPr>
            <w:tcW w:type="dxa" w:w="4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Python 3.11</w:t>
            </w:r>
          </w:p>
        </w:tc>
        <w:tc>
          <w:tcPr>
            <w:tcW w:type="dxa" w:w="4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Backend programming language</w:t>
            </w:r>
          </w:p>
        </w:tc>
      </w:tr>
      <w:tr>
        <w:tblPrEx>
          <w:shd w:val="clear" w:color="auto" w:fill="ced7e7"/>
        </w:tblPrEx>
        <w:trPr>
          <w:trHeight w:val="241" w:hRule="atLeast"/>
        </w:trPr>
        <w:tc>
          <w:tcPr>
            <w:tcW w:type="dxa" w:w="4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XGBoost 2.0</w:t>
            </w:r>
          </w:p>
        </w:tc>
        <w:tc>
          <w:tcPr>
            <w:tcW w:type="dxa" w:w="4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ML classifier</w:t>
            </w:r>
          </w:p>
        </w:tc>
      </w:tr>
      <w:tr>
        <w:tblPrEx>
          <w:shd w:val="clear" w:color="auto" w:fill="ced7e7"/>
        </w:tblPrEx>
        <w:trPr>
          <w:trHeight w:val="241" w:hRule="atLeast"/>
        </w:trPr>
        <w:tc>
          <w:tcPr>
            <w:tcW w:type="dxa" w:w="4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scikit-learn 1.4</w:t>
            </w:r>
          </w:p>
        </w:tc>
        <w:tc>
          <w:tcPr>
            <w:tcW w:type="dxa" w:w="4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Calibration, preprocessing</w:t>
            </w:r>
          </w:p>
        </w:tc>
      </w:tr>
      <w:tr>
        <w:tblPrEx>
          <w:shd w:val="clear" w:color="auto" w:fill="ced7e7"/>
        </w:tblPrEx>
        <w:trPr>
          <w:trHeight w:val="241" w:hRule="atLeast"/>
        </w:trPr>
        <w:tc>
          <w:tcPr>
            <w:tcW w:type="dxa" w:w="4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SHAP 0.44</w:t>
            </w:r>
          </w:p>
        </w:tc>
        <w:tc>
          <w:tcPr>
            <w:tcW w:type="dxa" w:w="4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Explainability, ACMG PP3/BP4</w:t>
            </w:r>
          </w:p>
        </w:tc>
      </w:tr>
      <w:tr>
        <w:tblPrEx>
          <w:shd w:val="clear" w:color="auto" w:fill="ced7e7"/>
        </w:tblPrEx>
        <w:trPr>
          <w:trHeight w:val="241" w:hRule="atLeast"/>
        </w:trPr>
        <w:tc>
          <w:tcPr>
            <w:tcW w:type="dxa" w:w="4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FastAPI 0.115</w:t>
            </w:r>
          </w:p>
        </w:tc>
        <w:tc>
          <w:tcPr>
            <w:tcW w:type="dxa" w:w="4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REST API backend</w:t>
            </w:r>
          </w:p>
        </w:tc>
      </w:tr>
      <w:tr>
        <w:tblPrEx>
          <w:shd w:val="clear" w:color="auto" w:fill="ced7e7"/>
        </w:tblPrEx>
        <w:trPr>
          <w:trHeight w:val="241" w:hRule="atLeast"/>
        </w:trPr>
        <w:tc>
          <w:tcPr>
            <w:tcW w:type="dxa" w:w="4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Pydantic</w:t>
            </w:r>
          </w:p>
        </w:tc>
        <w:tc>
          <w:tcPr>
            <w:tcW w:type="dxa" w:w="4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Input validation (Layer 1)</w:t>
            </w:r>
          </w:p>
        </w:tc>
      </w:tr>
      <w:tr>
        <w:tblPrEx>
          <w:shd w:val="clear" w:color="auto" w:fill="ced7e7"/>
        </w:tblPrEx>
        <w:trPr>
          <w:trHeight w:val="241" w:hRule="atLeast"/>
        </w:trPr>
        <w:tc>
          <w:tcPr>
            <w:tcW w:type="dxa" w:w="4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FAISS-CPU 1.8</w:t>
            </w:r>
          </w:p>
        </w:tc>
        <w:tc>
          <w:tcPr>
            <w:tcW w:type="dxa" w:w="4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Vector similarity search</w:t>
            </w:r>
          </w:p>
        </w:tc>
      </w:tr>
      <w:tr>
        <w:tblPrEx>
          <w:shd w:val="clear" w:color="auto" w:fill="ced7e7"/>
        </w:tblPrEx>
        <w:trPr>
          <w:trHeight w:val="241" w:hRule="atLeast"/>
        </w:trPr>
        <w:tc>
          <w:tcPr>
            <w:tcW w:type="dxa" w:w="4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sentence-transformers</w:t>
            </w:r>
          </w:p>
        </w:tc>
        <w:tc>
          <w:tcPr>
            <w:tcW w:type="dxa" w:w="4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PubMedBERT embeddings</w:t>
            </w:r>
          </w:p>
        </w:tc>
      </w:tr>
      <w:tr>
        <w:tblPrEx>
          <w:shd w:val="clear" w:color="auto" w:fill="ced7e7"/>
        </w:tblPrEx>
        <w:trPr>
          <w:trHeight w:val="241" w:hRule="atLeast"/>
        </w:trPr>
        <w:tc>
          <w:tcPr>
            <w:tcW w:type="dxa" w:w="4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ClinVar REST API</w:t>
            </w:r>
          </w:p>
        </w:tc>
        <w:tc>
          <w:tcPr>
            <w:tcW w:type="dxa" w:w="4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Clinical significance data</w:t>
            </w:r>
          </w:p>
        </w:tc>
      </w:tr>
      <w:tr>
        <w:tblPrEx>
          <w:shd w:val="clear" w:color="auto" w:fill="ced7e7"/>
        </w:tblPrEx>
        <w:trPr>
          <w:trHeight w:val="241" w:hRule="atLeast"/>
        </w:trPr>
        <w:tc>
          <w:tcPr>
            <w:tcW w:type="dxa" w:w="4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gnomAD GraphQL API</w:t>
            </w:r>
          </w:p>
        </w:tc>
        <w:tc>
          <w:tcPr>
            <w:tcW w:type="dxa" w:w="4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Population frequency data</w:t>
            </w:r>
          </w:p>
        </w:tc>
      </w:tr>
      <w:tr>
        <w:tblPrEx>
          <w:shd w:val="clear" w:color="auto" w:fill="ced7e7"/>
        </w:tblPrEx>
        <w:trPr>
          <w:trHeight w:val="241" w:hRule="atLeast"/>
        </w:trPr>
        <w:tc>
          <w:tcPr>
            <w:tcW w:type="dxa" w:w="4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Groq API (llama-3.3-70b)</w:t>
            </w:r>
          </w:p>
        </w:tc>
        <w:tc>
          <w:tcPr>
            <w:tcW w:type="dxa" w:w="4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LLM for RAG generation</w:t>
            </w:r>
          </w:p>
        </w:tc>
      </w:tr>
      <w:tr>
        <w:tblPrEx>
          <w:shd w:val="clear" w:color="auto" w:fill="ced7e7"/>
        </w:tblPrEx>
        <w:trPr>
          <w:trHeight w:val="241" w:hRule="atLeast"/>
        </w:trPr>
        <w:tc>
          <w:tcPr>
            <w:tcW w:type="dxa" w:w="4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React 18 + TypeScript</w:t>
            </w:r>
          </w:p>
        </w:tc>
        <w:tc>
          <w:tcPr>
            <w:tcW w:type="dxa" w:w="4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Frontend UI</w:t>
            </w:r>
          </w:p>
        </w:tc>
      </w:tr>
      <w:tr>
        <w:tblPrEx>
          <w:shd w:val="clear" w:color="auto" w:fill="ced7e7"/>
        </w:tblPrEx>
        <w:trPr>
          <w:trHeight w:val="241" w:hRule="atLeast"/>
        </w:trPr>
        <w:tc>
          <w:tcPr>
            <w:tcW w:type="dxa" w:w="4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Tailwind CSS</w:t>
            </w:r>
          </w:p>
        </w:tc>
        <w:tc>
          <w:tcPr>
            <w:tcW w:type="dxa" w:w="4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Frontend styling</w:t>
            </w:r>
          </w:p>
        </w:tc>
      </w:tr>
      <w:tr>
        <w:tblPrEx>
          <w:shd w:val="clear" w:color="auto" w:fill="ced7e7"/>
        </w:tblPrEx>
        <w:trPr>
          <w:trHeight w:val="241" w:hRule="atLeast"/>
        </w:trPr>
        <w:tc>
          <w:tcPr>
            <w:tcW w:type="dxa" w:w="4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PharmGKB API</w:t>
            </w:r>
          </w:p>
        </w:tc>
        <w:tc>
          <w:tcPr>
            <w:tcW w:type="dxa" w:w="4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Pharmacogenomics data</w:t>
            </w:r>
          </w:p>
        </w:tc>
      </w:tr>
      <w:tr>
        <w:tblPrEx>
          <w:shd w:val="clear" w:color="auto" w:fill="ced7e7"/>
        </w:tblPrEx>
        <w:trPr>
          <w:trHeight w:val="241" w:hRule="atLeast"/>
        </w:trPr>
        <w:tc>
          <w:tcPr>
            <w:tcW w:type="dxa" w:w="4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SQLite</w:t>
            </w:r>
          </w:p>
        </w:tc>
        <w:tc>
          <w:tcPr>
            <w:tcW w:type="dxa" w:w="4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Local caching (ClinVar, gnomAD)</w:t>
            </w:r>
          </w:p>
        </w:tc>
      </w:tr>
      <w:tr>
        <w:tblPrEx>
          <w:shd w:val="clear" w:color="auto" w:fill="ced7e7"/>
        </w:tblPrEx>
        <w:trPr>
          <w:trHeight w:val="241" w:hRule="atLeast"/>
        </w:trPr>
        <w:tc>
          <w:tcPr>
            <w:tcW w:type="dxa" w:w="4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joblib</w:t>
            </w:r>
          </w:p>
        </w:tc>
        <w:tc>
          <w:tcPr>
            <w:tcW w:type="dxa" w:w="4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Model serialization (.pkl)</w:t>
            </w:r>
          </w:p>
        </w:tc>
      </w:tr>
      <w:tr>
        <w:tblPrEx>
          <w:shd w:val="clear" w:color="auto" w:fill="ced7e7"/>
        </w:tblPrEx>
        <w:trPr>
          <w:trHeight w:val="241" w:hRule="atLeast"/>
        </w:trPr>
        <w:tc>
          <w:tcPr>
            <w:tcW w:type="dxa" w:w="4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pandas + numpy</w:t>
            </w:r>
          </w:p>
        </w:tc>
        <w:tc>
          <w:tcPr>
            <w:tcW w:type="dxa" w:w="4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Feature engineering</w:t>
            </w:r>
          </w:p>
        </w:tc>
      </w:tr>
      <w:tr>
        <w:tblPrEx>
          <w:shd w:val="clear" w:color="auto" w:fill="ced7e7"/>
        </w:tblPrEx>
        <w:trPr>
          <w:trHeight w:val="241" w:hRule="atLeast"/>
        </w:trPr>
        <w:tc>
          <w:tcPr>
            <w:tcW w:type="dxa" w:w="4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pytest 9.0</w:t>
            </w:r>
          </w:p>
        </w:tc>
        <w:tc>
          <w:tcPr>
            <w:tcW w:type="dxa" w:w="4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Testing framework</w:t>
            </w:r>
          </w:p>
        </w:tc>
      </w:tr>
    </w:tbl>
    <w:p>
      <w:pPr>
        <w:pStyle w:val="Body"/>
        <w:widowControl w:val="0"/>
        <w:spacing w:line="240" w:lineRule="auto"/>
        <w:jc w:val="center"/>
      </w:pPr>
    </w:p>
    <w:p>
      <w:pPr>
        <w:pStyle w:val="Body"/>
      </w:pPr>
      <w:r>
        <w:rPr>
          <w:rFonts w:ascii="Arial Unicode MS" w:cs="Arial Unicode MS" w:hAnsi="Arial Unicode MS" w:eastAsia="Arial Unicode MS"/>
          <w:b w:val="0"/>
          <w:bCs w:val="0"/>
          <w:i w:val="0"/>
          <w:iCs w:val="0"/>
        </w:rPr>
        <w:br w:type="page"/>
      </w:r>
    </w:p>
    <w:p>
      <w:pPr>
        <w:pStyle w:val="Body"/>
        <w:spacing w:before="360" w:after="0"/>
        <w:jc w:val="right"/>
      </w:pPr>
      <w:r>
        <w:rPr>
          <w:rFonts w:ascii="Times New Roman" w:hAnsi="Times New Roman"/>
          <w:b w:val="1"/>
          <w:bCs w:val="1"/>
          <w:i w:val="1"/>
          <w:iCs w:val="1"/>
          <w:sz w:val="28"/>
          <w:szCs w:val="28"/>
          <w:rtl w:val="0"/>
          <w:lang w:val="nl-NL"/>
        </w:rPr>
        <w:t>Chapter 5</w:t>
      </w:r>
    </w:p>
    <w:p>
      <w:pPr>
        <w:pStyle w:val="Body"/>
        <w:pBdr>
          <w:top w:val="nil"/>
          <w:left w:val="nil"/>
          <w:bottom w:val="single" w:color="aaaaaa" w:sz="6" w:space="0" w:shadow="0" w:frame="0"/>
          <w:right w:val="nil"/>
        </w:pBdr>
        <w:spacing w:before="40" w:after="280"/>
        <w:jc w:val="right"/>
      </w:pPr>
      <w:r>
        <w:rPr>
          <w:rFonts w:ascii="Times New Roman" w:hAnsi="Times New Roman"/>
          <w:b w:val="1"/>
          <w:bCs w:val="1"/>
          <w:sz w:val="28"/>
          <w:szCs w:val="28"/>
          <w:rtl w:val="0"/>
          <w:lang w:val="en-US"/>
        </w:rPr>
        <w:t>SYSTEM DESIGN</w:t>
      </w:r>
    </w:p>
    <w:p>
      <w:pPr>
        <w:pStyle w:val="Body"/>
        <w:spacing w:before="240" w:after="120"/>
      </w:pPr>
      <w:r>
        <w:rPr>
          <w:rFonts w:ascii="Times New Roman" w:hAnsi="Times New Roman"/>
          <w:b w:val="1"/>
          <w:bCs w:val="1"/>
          <w:sz w:val="24"/>
          <w:szCs w:val="24"/>
          <w:rtl w:val="0"/>
          <w:lang w:val="en-US"/>
        </w:rPr>
        <w:t>5.1 Overview of System Workflow</w:t>
      </w:r>
    </w:p>
    <w:p>
      <w:pPr>
        <w:pStyle w:val="Body"/>
        <w:spacing w:after="120" w:line="360" w:lineRule="auto"/>
        <w:jc w:val="both"/>
      </w:pPr>
      <w:r>
        <w:rPr>
          <w:rFonts w:ascii="Times New Roman" w:hAnsi="Times New Roman"/>
          <w:sz w:val="24"/>
          <w:szCs w:val="24"/>
          <w:rtl w:val="0"/>
          <w:lang w:val="en-US"/>
        </w:rPr>
        <w:t>The Epilepsy Variant Diagnostic Assistant follows a two-path workflow depending on the ML model's confidence level. The fast path (benign-confident) returns an ML prediction and ACMG classification without triggering the full RAG pipeline. The full path (pathogenic or uncertain) activates multi-source retrieval, confidence resolution, contradiction detection, and LLM narrative generation.</w:t>
      </w:r>
    </w:p>
    <w:p>
      <w:pPr>
        <w:pStyle w:val="Body"/>
        <w:spacing w:after="120" w:line="360" w:lineRule="auto"/>
        <w:jc w:val="both"/>
      </w:pPr>
      <w:r>
        <w:rPr>
          <w:rFonts w:ascii="Times New Roman" w:hAnsi="Times New Roman"/>
          <w:sz w:val="24"/>
          <w:szCs w:val="24"/>
          <w:rtl w:val="0"/>
          <w:lang w:val="en-US"/>
        </w:rPr>
        <w:t>Fast Path (benign probability &gt; 70%): The variant input is validated, features are engineered, the XGBoost model produces a high-confidence benign prediction, SHAP attributions are computed, the ACMG engine classifies using locally available evidence, and a structured response is returned. This path completes in under 2 seconds.</w:t>
      </w:r>
    </w:p>
    <w:p>
      <w:pPr>
        <w:pStyle w:val="Body"/>
        <w:spacing w:after="120" w:line="360" w:lineRule="auto"/>
        <w:jc w:val="both"/>
      </w:pPr>
      <w:r>
        <w:rPr>
          <w:rFonts w:ascii="Times New Roman" w:hAnsi="Times New Roman"/>
          <w:sz w:val="24"/>
          <w:szCs w:val="24"/>
          <w:rtl w:val="0"/>
          <w:lang w:val="en-US"/>
        </w:rPr>
        <w:t>Full RAG Path (pathogenic or uncertain): All fast-path steps are completed, then the confidence resolver evaluates the pathogenic probability zone. If pathogenic (&gt; 70%) or uncertain (30</w:t>
      </w:r>
      <w:r>
        <w:rPr>
          <w:rFonts w:ascii="Times New Roman" w:hAnsi="Times New Roman" w:hint="default"/>
          <w:sz w:val="24"/>
          <w:szCs w:val="24"/>
          <w:rtl w:val="0"/>
          <w:lang w:val="en-US"/>
        </w:rPr>
        <w:t>–</w:t>
      </w:r>
      <w:r>
        <w:rPr>
          <w:rFonts w:ascii="Times New Roman" w:hAnsi="Times New Roman"/>
          <w:sz w:val="24"/>
          <w:szCs w:val="24"/>
          <w:rtl w:val="0"/>
          <w:lang w:val="en-US"/>
        </w:rPr>
        <w:t>70%), the multi-source retriever is invoked in parallel: ClinVar is queried for existing classifications, gnomAD is queried for population frequency, the FAISS index is searched for relevant PubMed abstracts, and PharmGKB is queried for drug-gene relationships. The retrieved evidence is integrated into the ACMG classification, the contradiction detector analyses source conflicts, and the RAG generator produces a comprehensive clinical narrative. This path typically completes in 230</w:t>
      </w:r>
      <w:r>
        <w:rPr>
          <w:rFonts w:ascii="Times New Roman" w:hAnsi="Times New Roman" w:hint="default"/>
          <w:sz w:val="24"/>
          <w:szCs w:val="24"/>
          <w:rtl w:val="0"/>
          <w:lang w:val="en-US"/>
        </w:rPr>
        <w:t>–</w:t>
      </w:r>
      <w:r>
        <w:rPr>
          <w:rFonts w:ascii="Times New Roman" w:hAnsi="Times New Roman"/>
          <w:sz w:val="24"/>
          <w:szCs w:val="24"/>
          <w:rtl w:val="0"/>
          <w:lang w:val="en-US"/>
        </w:rPr>
        <w:t>490 milliseconds for local components, with additional LLM generation time.</w:t>
      </w:r>
    </w:p>
    <w:p>
      <w:pPr>
        <w:pStyle w:val="Body"/>
        <w:spacing w:before="240" w:after="120"/>
      </w:pPr>
      <w:r>
        <w:rPr>
          <w:rFonts w:ascii="Times New Roman" w:hAnsi="Times New Roman"/>
          <w:b w:val="1"/>
          <w:bCs w:val="1"/>
          <w:sz w:val="24"/>
          <w:szCs w:val="24"/>
          <w:rtl w:val="0"/>
          <w:lang w:val="en-US"/>
        </w:rPr>
        <w:t>5.2 System Architecture Layers</w:t>
      </w:r>
    </w:p>
    <w:p>
      <w:pPr>
        <w:pStyle w:val="Body"/>
        <w:spacing w:after="120" w:line="360" w:lineRule="auto"/>
        <w:jc w:val="both"/>
      </w:pPr>
      <w:r>
        <w:rPr>
          <w:rFonts w:ascii="Times New Roman" w:hAnsi="Times New Roman"/>
          <w:sz w:val="24"/>
          <w:szCs w:val="24"/>
          <w:rtl w:val="0"/>
          <w:lang w:val="en-US"/>
        </w:rPr>
        <w:t>The system is structured as ten discrete, independently testable layers. This modular architecture ensures separation of concerns, facilitates unit testing, and enables individual layer replacement without affecting the rest of the pipeline.</w:t>
      </w:r>
    </w:p>
    <w:p>
      <w:pPr>
        <w:pStyle w:val="Body"/>
        <w:spacing w:before="240" w:after="120"/>
      </w:pPr>
      <w:r>
        <w:rPr>
          <w:rFonts w:ascii="Times New Roman" w:hAnsi="Times New Roman"/>
          <w:b w:val="1"/>
          <w:bCs w:val="1"/>
          <w:sz w:val="24"/>
          <w:szCs w:val="24"/>
          <w:rtl w:val="0"/>
          <w:lang w:val="en-US"/>
        </w:rPr>
        <w:t xml:space="preserve">Layer 1 </w:t>
      </w:r>
      <w:r>
        <w:rPr>
          <w:rFonts w:ascii="Times New Roman" w:hAnsi="Times New Roman" w:hint="default"/>
          <w:b w:val="1"/>
          <w:bCs w:val="1"/>
          <w:sz w:val="24"/>
          <w:szCs w:val="24"/>
          <w:rtl w:val="0"/>
          <w:lang w:val="en-US"/>
        </w:rPr>
        <w:t xml:space="preserve">— </w:t>
      </w:r>
      <w:r>
        <w:rPr>
          <w:rFonts w:ascii="Times New Roman" w:hAnsi="Times New Roman"/>
          <w:b w:val="1"/>
          <w:bCs w:val="1"/>
          <w:sz w:val="24"/>
          <w:szCs w:val="24"/>
          <w:rtl w:val="0"/>
          <w:lang w:val="en-US"/>
        </w:rPr>
        <w:t>Input Validation</w:t>
      </w:r>
    </w:p>
    <w:p>
      <w:pPr>
        <w:pStyle w:val="Body"/>
        <w:spacing w:after="120" w:line="360" w:lineRule="auto"/>
        <w:jc w:val="both"/>
      </w:pPr>
      <w:r>
        <w:rPr>
          <w:rFonts w:ascii="Times New Roman" w:hAnsi="Times New Roman"/>
          <w:sz w:val="24"/>
          <w:szCs w:val="24"/>
          <w:rtl w:val="0"/>
          <w:lang w:val="en-US"/>
        </w:rPr>
        <w:t>Pydantic BaseModel (VariantInput) enforces required fields: gene, chromosome, reference_allele, alternate_allele, consequence, with optional fields variant_type, review_status, origin. Invalid requests return HTTP 422 with field-level error messages before any processing occurs.</w:t>
      </w:r>
    </w:p>
    <w:p>
      <w:pPr>
        <w:pStyle w:val="Body"/>
        <w:spacing w:before="240" w:after="120"/>
      </w:pPr>
      <w:r>
        <w:rPr>
          <w:rFonts w:ascii="Times New Roman" w:hAnsi="Times New Roman"/>
          <w:b w:val="1"/>
          <w:bCs w:val="1"/>
          <w:sz w:val="24"/>
          <w:szCs w:val="24"/>
          <w:rtl w:val="0"/>
          <w:lang w:val="en-US"/>
        </w:rPr>
        <w:t xml:space="preserve">Layer 2 </w:t>
      </w:r>
      <w:r>
        <w:rPr>
          <w:rFonts w:ascii="Times New Roman" w:hAnsi="Times New Roman" w:hint="default"/>
          <w:b w:val="1"/>
          <w:bCs w:val="1"/>
          <w:sz w:val="24"/>
          <w:szCs w:val="24"/>
          <w:rtl w:val="0"/>
          <w:lang w:val="en-US"/>
        </w:rPr>
        <w:t xml:space="preserve">— </w:t>
      </w:r>
      <w:r>
        <w:rPr>
          <w:rFonts w:ascii="Times New Roman" w:hAnsi="Times New Roman"/>
          <w:b w:val="1"/>
          <w:bCs w:val="1"/>
          <w:sz w:val="24"/>
          <w:szCs w:val="24"/>
          <w:rtl w:val="0"/>
          <w:lang w:val="en-US"/>
        </w:rPr>
        <w:t>Feature Engineering</w:t>
      </w:r>
    </w:p>
    <w:p>
      <w:pPr>
        <w:pStyle w:val="Body"/>
        <w:spacing w:after="120" w:line="360" w:lineRule="auto"/>
        <w:jc w:val="both"/>
      </w:pPr>
      <w:r>
        <w:rPr>
          <w:rFonts w:ascii="Times New Roman" w:hAnsi="Times New Roman"/>
          <w:sz w:val="24"/>
          <w:szCs w:val="24"/>
          <w:rtl w:val="0"/>
          <w:lang w:val="en-US"/>
        </w:rPr>
        <w:t>The raw variant input is transformed into a 93-dimensional numerical feature vector. Features include: 27 gene one-hot encoded flags, 9 consequence severity binary flags (is_frameshift, is_nonsense, is_missense, is_splice, is_synonymous, is_inframe, is_start_loss, is_stop_loss, severe_consequence_count), 3 variant type features (is_snp, is_transition, is_transversion), 5 review features (review_score, has_expert_review, has_multiple_submitters, has_criteria_provided, num_submitters), 3 position features, 2 origin features (is_germline, is_de_novo), and 9 gene category features (is_sodium_channel, is_ion_channel, is_gaba_receptor, is_tsc_complex, is_x_linked, is_rett_related, is_mtor_pathway, is_synaptic, is_glut1).</w:t>
      </w:r>
    </w:p>
    <w:p>
      <w:pPr>
        <w:pStyle w:val="Body"/>
        <w:spacing w:before="240" w:after="120"/>
      </w:pPr>
      <w:r>
        <w:rPr>
          <w:rFonts w:ascii="Times New Roman" w:hAnsi="Times New Roman"/>
          <w:b w:val="1"/>
          <w:bCs w:val="1"/>
          <w:sz w:val="24"/>
          <w:szCs w:val="24"/>
          <w:rtl w:val="0"/>
          <w:lang w:val="en-US"/>
        </w:rPr>
        <w:t xml:space="preserve">Layer 3 </w:t>
      </w:r>
      <w:r>
        <w:rPr>
          <w:rFonts w:ascii="Times New Roman" w:hAnsi="Times New Roman" w:hint="default"/>
          <w:b w:val="1"/>
          <w:bCs w:val="1"/>
          <w:sz w:val="24"/>
          <w:szCs w:val="24"/>
          <w:rtl w:val="0"/>
          <w:lang w:val="en-US"/>
        </w:rPr>
        <w:t xml:space="preserve">— </w:t>
      </w:r>
      <w:r>
        <w:rPr>
          <w:rFonts w:ascii="Times New Roman" w:hAnsi="Times New Roman"/>
          <w:b w:val="1"/>
          <w:bCs w:val="1"/>
          <w:sz w:val="24"/>
          <w:szCs w:val="24"/>
          <w:rtl w:val="0"/>
          <w:lang w:val="fr-FR"/>
        </w:rPr>
        <w:t>ML Classifier</w:t>
      </w:r>
    </w:p>
    <w:p>
      <w:pPr>
        <w:pStyle w:val="Body"/>
        <w:spacing w:after="120" w:line="360" w:lineRule="auto"/>
        <w:jc w:val="both"/>
      </w:pPr>
      <w:r>
        <w:rPr>
          <w:rFonts w:ascii="Times New Roman" w:hAnsi="Times New Roman"/>
          <w:sz w:val="24"/>
          <w:szCs w:val="24"/>
          <w:rtl w:val="0"/>
          <w:lang w:val="en-US"/>
        </w:rPr>
        <w:t>The calibrated XGBoost model (CalibratedClassifierCV with isotonic method) receives the 93-dimensional vector and returns pathogenic_probability and benign_probability. The model uses n_estimators=300, max_depth=8, learning_rate=0.05, subsample=0.8, colsample_bytree=0.8, min_child_weight=3, gamma=0.1, reg_alpha=0.1, reg_lambda=1.0. Isotonic calibration corrects the raw XGBoost probability outputs to be statistically well-calibrated.</w:t>
      </w:r>
    </w:p>
    <w:p>
      <w:pPr>
        <w:pStyle w:val="Body"/>
        <w:spacing w:before="240" w:after="120"/>
      </w:pPr>
      <w:r>
        <w:rPr>
          <w:rFonts w:ascii="Times New Roman" w:hAnsi="Times New Roman"/>
          <w:b w:val="1"/>
          <w:bCs w:val="1"/>
          <w:sz w:val="24"/>
          <w:szCs w:val="24"/>
          <w:rtl w:val="0"/>
          <w:lang w:val="en-US"/>
        </w:rPr>
        <w:t xml:space="preserve">Layer 4 </w:t>
      </w:r>
      <w:r>
        <w:rPr>
          <w:rFonts w:ascii="Times New Roman" w:hAnsi="Times New Roman" w:hint="default"/>
          <w:b w:val="1"/>
          <w:bCs w:val="1"/>
          <w:sz w:val="24"/>
          <w:szCs w:val="24"/>
          <w:rtl w:val="0"/>
          <w:lang w:val="en-US"/>
        </w:rPr>
        <w:t xml:space="preserve">— </w:t>
      </w:r>
      <w:r>
        <w:rPr>
          <w:rFonts w:ascii="Times New Roman" w:hAnsi="Times New Roman"/>
          <w:b w:val="1"/>
          <w:bCs w:val="1"/>
          <w:sz w:val="24"/>
          <w:szCs w:val="24"/>
          <w:rtl w:val="0"/>
          <w:lang w:val="en-US"/>
        </w:rPr>
        <w:t>SHAP Explainer</w:t>
      </w:r>
    </w:p>
    <w:p>
      <w:pPr>
        <w:pStyle w:val="Body"/>
        <w:spacing w:after="120" w:line="360" w:lineRule="auto"/>
        <w:jc w:val="both"/>
      </w:pPr>
      <w:r>
        <w:rPr>
          <w:rFonts w:ascii="Times New Roman" w:hAnsi="Times New Roman"/>
          <w:sz w:val="24"/>
          <w:szCs w:val="24"/>
          <w:rtl w:val="0"/>
          <w:lang w:val="en-US"/>
        </w:rPr>
        <w:t>TreeSHAP computes exact SHAP values for the XGBoost model. The top-5 contributing features are extracted, their contributions are expressed as percentages of the total absolute attribution, and each feature is mapped to a clinical description using the FEATURE_DESCRIPTIONS dictionary. The SHAP explainer is loaded as a singleton at startup to avoid repeated initialization overhead.</w:t>
      </w:r>
    </w:p>
    <w:p>
      <w:pPr>
        <w:pStyle w:val="Body"/>
        <w:spacing w:before="240" w:after="120"/>
      </w:pPr>
      <w:r>
        <w:rPr>
          <w:rFonts w:ascii="Times New Roman" w:hAnsi="Times New Roman"/>
          <w:b w:val="1"/>
          <w:bCs w:val="1"/>
          <w:sz w:val="24"/>
          <w:szCs w:val="24"/>
          <w:rtl w:val="0"/>
          <w:lang w:val="en-US"/>
        </w:rPr>
        <w:t xml:space="preserve">Layer 5 </w:t>
      </w:r>
      <w:r>
        <w:rPr>
          <w:rFonts w:ascii="Times New Roman" w:hAnsi="Times New Roman" w:hint="default"/>
          <w:b w:val="1"/>
          <w:bCs w:val="1"/>
          <w:sz w:val="24"/>
          <w:szCs w:val="24"/>
          <w:rtl w:val="0"/>
          <w:lang w:val="en-US"/>
        </w:rPr>
        <w:t xml:space="preserve">— </w:t>
      </w:r>
      <w:r>
        <w:rPr>
          <w:rFonts w:ascii="Times New Roman" w:hAnsi="Times New Roman"/>
          <w:b w:val="1"/>
          <w:bCs w:val="1"/>
          <w:sz w:val="24"/>
          <w:szCs w:val="24"/>
          <w:rtl w:val="0"/>
          <w:lang w:val="en-US"/>
        </w:rPr>
        <w:t>ACMG Engine</w:t>
      </w:r>
    </w:p>
    <w:p>
      <w:pPr>
        <w:pStyle w:val="Body"/>
        <w:spacing w:after="120" w:line="360" w:lineRule="auto"/>
        <w:jc w:val="both"/>
      </w:pPr>
      <w:r>
        <w:rPr>
          <w:rFonts w:ascii="Times New Roman" w:hAnsi="Times New Roman"/>
          <w:sz w:val="24"/>
          <w:szCs w:val="24"/>
          <w:rtl w:val="0"/>
          <w:lang w:val="en-US"/>
        </w:rPr>
        <w:t xml:space="preserve">The ACMGClassifier evaluates 14 criteria: PVS1 (LOF in LOF gene), PS1 (same AA change </w:t>
      </w:r>
      <w:r>
        <w:rPr>
          <w:rFonts w:ascii="Times New Roman" w:hAnsi="Times New Roman" w:hint="default"/>
          <w:sz w:val="24"/>
          <w:szCs w:val="24"/>
          <w:rtl w:val="0"/>
          <w:lang w:val="en-US"/>
        </w:rPr>
        <w:t xml:space="preserve">— </w:t>
      </w:r>
      <w:r>
        <w:rPr>
          <w:rFonts w:ascii="Times New Roman" w:hAnsi="Times New Roman"/>
          <w:sz w:val="24"/>
          <w:szCs w:val="24"/>
          <w:rtl w:val="0"/>
          <w:lang w:val="en-US"/>
        </w:rPr>
        <w:t xml:space="preserve">manual review required), PS2 (confirmed de novo), PS3 (functional studies </w:t>
      </w:r>
      <w:r>
        <w:rPr>
          <w:rFonts w:ascii="Times New Roman" w:hAnsi="Times New Roman" w:hint="default"/>
          <w:sz w:val="24"/>
          <w:szCs w:val="24"/>
          <w:rtl w:val="0"/>
          <w:lang w:val="en-US"/>
        </w:rPr>
        <w:t xml:space="preserve">— </w:t>
      </w:r>
      <w:r>
        <w:rPr>
          <w:rFonts w:ascii="Times New Roman" w:hAnsi="Times New Roman"/>
          <w:sz w:val="24"/>
          <w:szCs w:val="24"/>
          <w:rtl w:val="0"/>
          <w:lang w:val="en-US"/>
        </w:rPr>
        <w:t xml:space="preserve">not auto-evaluated), PM1 (hotspot domain </w:t>
      </w:r>
      <w:r>
        <w:rPr>
          <w:rFonts w:ascii="Times New Roman" w:hAnsi="Times New Roman" w:hint="default"/>
          <w:sz w:val="24"/>
          <w:szCs w:val="24"/>
          <w:rtl w:val="0"/>
          <w:lang w:val="en-US"/>
        </w:rPr>
        <w:t xml:space="preserve">— </w:t>
      </w:r>
      <w:r>
        <w:rPr>
          <w:rFonts w:ascii="Times New Roman" w:hAnsi="Times New Roman"/>
          <w:sz w:val="24"/>
          <w:szCs w:val="24"/>
          <w:rtl w:val="0"/>
          <w:lang w:val="en-US"/>
        </w:rPr>
        <w:t>SHAP-proxy), PM2 (gnomAD absent/ultra-rare), PM4 (in-frame indel), PM6 (assumed de novo), PP3 (SHAP pathogenic), PP5 (ClinVar pathogenic), BA1 (AF &gt; 5%), BS1 (AF 1</w:t>
      </w:r>
      <w:r>
        <w:rPr>
          <w:rFonts w:ascii="Times New Roman" w:hAnsi="Times New Roman" w:hint="default"/>
          <w:sz w:val="24"/>
          <w:szCs w:val="24"/>
          <w:rtl w:val="0"/>
          <w:lang w:val="en-US"/>
        </w:rPr>
        <w:t>–</w:t>
      </w:r>
      <w:r>
        <w:rPr>
          <w:rFonts w:ascii="Times New Roman" w:hAnsi="Times New Roman"/>
          <w:sz w:val="24"/>
          <w:szCs w:val="24"/>
          <w:rtl w:val="0"/>
          <w:lang w:val="en-US"/>
        </w:rPr>
        <w:t>5%), BS2 (healthy individuals), BP4 (SHAP benign), BP6 (ClinVar benign), BP7 (synonymous). Tavtigian scoring maps these to a five-tier classification.</w:t>
      </w:r>
    </w:p>
    <w:p>
      <w:pPr>
        <w:pStyle w:val="Body"/>
        <w:spacing w:before="240" w:after="120"/>
      </w:pPr>
      <w:r>
        <w:rPr>
          <w:rFonts w:ascii="Times New Roman" w:hAnsi="Times New Roman"/>
          <w:b w:val="1"/>
          <w:bCs w:val="1"/>
          <w:sz w:val="24"/>
          <w:szCs w:val="24"/>
          <w:rtl w:val="0"/>
          <w:lang w:val="en-US"/>
        </w:rPr>
        <w:t xml:space="preserve">Layer 6 </w:t>
      </w:r>
      <w:r>
        <w:rPr>
          <w:rFonts w:ascii="Times New Roman" w:hAnsi="Times New Roman" w:hint="default"/>
          <w:b w:val="1"/>
          <w:bCs w:val="1"/>
          <w:sz w:val="24"/>
          <w:szCs w:val="24"/>
          <w:rtl w:val="0"/>
          <w:lang w:val="en-US"/>
        </w:rPr>
        <w:t xml:space="preserve">— </w:t>
      </w:r>
      <w:r>
        <w:rPr>
          <w:rFonts w:ascii="Times New Roman" w:hAnsi="Times New Roman"/>
          <w:b w:val="1"/>
          <w:bCs w:val="1"/>
          <w:sz w:val="24"/>
          <w:szCs w:val="24"/>
          <w:rtl w:val="0"/>
          <w:lang w:val="en-US"/>
        </w:rPr>
        <w:t>Multi-Source Retriever</w:t>
      </w:r>
    </w:p>
    <w:p>
      <w:pPr>
        <w:pStyle w:val="Body"/>
        <w:spacing w:after="120" w:line="360" w:lineRule="auto"/>
        <w:jc w:val="both"/>
      </w:pPr>
      <w:r>
        <w:rPr>
          <w:rFonts w:ascii="Times New Roman" w:hAnsi="Times New Roman"/>
          <w:sz w:val="24"/>
          <w:szCs w:val="24"/>
          <w:rtl w:val="0"/>
          <w:lang w:val="en-US"/>
        </w:rPr>
        <w:t>The MultiSourceRetriever orchestrates parallel queries to ClinVar (eutils REST API, SQLite-cached 30-day TTL), gnomAD (GraphQL API, SQLite-cached 30-day TTL), PubMed FAISS index (top-5 abstracts by gene query), and PharmGKB (gene-drug relationships). Results are aggregated and passed to the ACMG engine and RAG generator.</w:t>
      </w:r>
    </w:p>
    <w:p>
      <w:pPr>
        <w:pStyle w:val="Body"/>
        <w:spacing w:before="240" w:after="120"/>
      </w:pPr>
      <w:r>
        <w:rPr>
          <w:rFonts w:ascii="Times New Roman" w:hAnsi="Times New Roman"/>
          <w:b w:val="1"/>
          <w:bCs w:val="1"/>
          <w:sz w:val="24"/>
          <w:szCs w:val="24"/>
          <w:rtl w:val="0"/>
          <w:lang w:val="en-US"/>
        </w:rPr>
        <w:t xml:space="preserve">Layer 7 </w:t>
      </w:r>
      <w:r>
        <w:rPr>
          <w:rFonts w:ascii="Times New Roman" w:hAnsi="Times New Roman" w:hint="default"/>
          <w:b w:val="1"/>
          <w:bCs w:val="1"/>
          <w:sz w:val="24"/>
          <w:szCs w:val="24"/>
          <w:rtl w:val="0"/>
          <w:lang w:val="en-US"/>
        </w:rPr>
        <w:t xml:space="preserve">— </w:t>
      </w:r>
      <w:r>
        <w:rPr>
          <w:rFonts w:ascii="Times New Roman" w:hAnsi="Times New Roman"/>
          <w:b w:val="1"/>
          <w:bCs w:val="1"/>
          <w:sz w:val="24"/>
          <w:szCs w:val="24"/>
          <w:rtl w:val="0"/>
          <w:lang w:val="pt-PT"/>
        </w:rPr>
        <w:t>Confidence Resolver</w:t>
      </w:r>
    </w:p>
    <w:p>
      <w:pPr>
        <w:pStyle w:val="Body"/>
        <w:spacing w:after="120" w:line="360" w:lineRule="auto"/>
        <w:jc w:val="both"/>
      </w:pPr>
      <w:r>
        <w:rPr>
          <w:rFonts w:ascii="Times New Roman" w:hAnsi="Times New Roman"/>
          <w:sz w:val="24"/>
          <w:szCs w:val="24"/>
          <w:rtl w:val="0"/>
          <w:lang w:val="en-US"/>
        </w:rPr>
        <w:t>The ConfidenceResolver classifies the pathogenic probability into six zones: very_high (</w:t>
      </w:r>
      <w:r>
        <w:rPr>
          <w:rFonts w:ascii="Times New Roman" w:hAnsi="Times New Roman" w:hint="default"/>
          <w:sz w:val="24"/>
          <w:szCs w:val="24"/>
          <w:rtl w:val="0"/>
          <w:lang w:val="en-US"/>
        </w:rPr>
        <w:t>≥</w:t>
      </w:r>
      <w:r>
        <w:rPr>
          <w:rFonts w:ascii="Times New Roman" w:hAnsi="Times New Roman"/>
          <w:sz w:val="24"/>
          <w:szCs w:val="24"/>
          <w:rtl w:val="0"/>
          <w:lang w:val="en-US"/>
        </w:rPr>
        <w:t>0.9), high (0.7</w:t>
      </w:r>
      <w:r>
        <w:rPr>
          <w:rFonts w:ascii="Times New Roman" w:hAnsi="Times New Roman" w:hint="default"/>
          <w:sz w:val="24"/>
          <w:szCs w:val="24"/>
          <w:rtl w:val="0"/>
          <w:lang w:val="en-US"/>
        </w:rPr>
        <w:t>–</w:t>
      </w:r>
      <w:r>
        <w:rPr>
          <w:rFonts w:ascii="Times New Roman" w:hAnsi="Times New Roman"/>
          <w:sz w:val="24"/>
          <w:szCs w:val="24"/>
          <w:rtl w:val="0"/>
          <w:lang w:val="nl-NL"/>
        </w:rPr>
        <w:t>0.9), moderate_pathogenic (0.5</w:t>
      </w:r>
      <w:r>
        <w:rPr>
          <w:rFonts w:ascii="Times New Roman" w:hAnsi="Times New Roman" w:hint="default"/>
          <w:sz w:val="24"/>
          <w:szCs w:val="24"/>
          <w:rtl w:val="0"/>
          <w:lang w:val="en-US"/>
        </w:rPr>
        <w:t>–</w:t>
      </w:r>
      <w:r>
        <w:rPr>
          <w:rFonts w:ascii="Times New Roman" w:hAnsi="Times New Roman"/>
          <w:sz w:val="24"/>
          <w:szCs w:val="24"/>
          <w:rtl w:val="0"/>
          <w:lang w:val="it-IT"/>
        </w:rPr>
        <w:t>0.7), moderate_benign (0.3</w:t>
      </w:r>
      <w:r>
        <w:rPr>
          <w:rFonts w:ascii="Times New Roman" w:hAnsi="Times New Roman" w:hint="default"/>
          <w:sz w:val="24"/>
          <w:szCs w:val="24"/>
          <w:rtl w:val="0"/>
          <w:lang w:val="en-US"/>
        </w:rPr>
        <w:t>–</w:t>
      </w:r>
      <w:r>
        <w:rPr>
          <w:rFonts w:ascii="Times New Roman" w:hAnsi="Times New Roman"/>
          <w:sz w:val="24"/>
          <w:szCs w:val="24"/>
          <w:rtl w:val="0"/>
          <w:lang w:val="en-US"/>
        </w:rPr>
        <w:t>0.5), high_benign (0.1</w:t>
      </w:r>
      <w:r>
        <w:rPr>
          <w:rFonts w:ascii="Times New Roman" w:hAnsi="Times New Roman" w:hint="default"/>
          <w:sz w:val="24"/>
          <w:szCs w:val="24"/>
          <w:rtl w:val="0"/>
          <w:lang w:val="en-US"/>
        </w:rPr>
        <w:t>–</w:t>
      </w:r>
      <w:r>
        <w:rPr>
          <w:rFonts w:ascii="Times New Roman" w:hAnsi="Times New Roman"/>
          <w:sz w:val="24"/>
          <w:szCs w:val="24"/>
          <w:rtl w:val="0"/>
          <w:lang w:val="en-US"/>
        </w:rPr>
        <w:t>0.3), very_high_benign (&lt;0.1). Uncertain predictions (0.3</w:t>
      </w:r>
      <w:r>
        <w:rPr>
          <w:rFonts w:ascii="Times New Roman" w:hAnsi="Times New Roman" w:hint="default"/>
          <w:sz w:val="24"/>
          <w:szCs w:val="24"/>
          <w:rtl w:val="0"/>
          <w:lang w:val="en-US"/>
        </w:rPr>
        <w:t>–</w:t>
      </w:r>
      <w:r>
        <w:rPr>
          <w:rFonts w:ascii="Times New Roman" w:hAnsi="Times New Roman"/>
          <w:sz w:val="24"/>
          <w:szCs w:val="24"/>
          <w:rtl w:val="0"/>
          <w:lang w:val="en-US"/>
        </w:rPr>
        <w:t>0.7) trigger additional evidence context building, with a weighted vote from gnomAD, ClinVar, consequence, and SHAP to suggest a classification.</w:t>
      </w:r>
    </w:p>
    <w:p>
      <w:pPr>
        <w:pStyle w:val="Body"/>
        <w:spacing w:before="240" w:after="120"/>
      </w:pPr>
      <w:r>
        <w:rPr>
          <w:rFonts w:ascii="Times New Roman" w:hAnsi="Times New Roman"/>
          <w:b w:val="1"/>
          <w:bCs w:val="1"/>
          <w:sz w:val="24"/>
          <w:szCs w:val="24"/>
          <w:rtl w:val="0"/>
          <w:lang w:val="en-US"/>
        </w:rPr>
        <w:t xml:space="preserve">Layer 8 </w:t>
      </w:r>
      <w:r>
        <w:rPr>
          <w:rFonts w:ascii="Times New Roman" w:hAnsi="Times New Roman" w:hint="default"/>
          <w:b w:val="1"/>
          <w:bCs w:val="1"/>
          <w:sz w:val="24"/>
          <w:szCs w:val="24"/>
          <w:rtl w:val="0"/>
          <w:lang w:val="en-US"/>
        </w:rPr>
        <w:t xml:space="preserve">— </w:t>
      </w:r>
      <w:r>
        <w:rPr>
          <w:rFonts w:ascii="Times New Roman" w:hAnsi="Times New Roman"/>
          <w:b w:val="1"/>
          <w:bCs w:val="1"/>
          <w:sz w:val="24"/>
          <w:szCs w:val="24"/>
          <w:rtl w:val="0"/>
          <w:lang w:val="en-US"/>
        </w:rPr>
        <w:t>Contradiction Detector</w:t>
      </w:r>
    </w:p>
    <w:p>
      <w:pPr>
        <w:pStyle w:val="Body"/>
        <w:spacing w:after="120" w:line="360" w:lineRule="auto"/>
        <w:jc w:val="both"/>
      </w:pPr>
      <w:r>
        <w:rPr>
          <w:rFonts w:ascii="Times New Roman" w:hAnsi="Times New Roman"/>
          <w:sz w:val="24"/>
          <w:szCs w:val="24"/>
          <w:rtl w:val="0"/>
          <w:lang w:val="en-US"/>
        </w:rPr>
        <w:t>The ContradictionDetector identifies four classes of contradiction: ML vs. ClinVar (opposite classifications), ML vs. gnomAD (common variant predicted pathogenic), ML vs. Consequence (benign predicted for LOF consequence), and ClinVar Internal Conflict (conflicting submitter interpretations). Contradictions are classified by severity (low, medium, high) and included in the LLM context.</w:t>
      </w:r>
    </w:p>
    <w:p>
      <w:pPr>
        <w:pStyle w:val="Body"/>
        <w:spacing w:before="240" w:after="120"/>
      </w:pPr>
      <w:r>
        <w:rPr>
          <w:rFonts w:ascii="Times New Roman" w:hAnsi="Times New Roman"/>
          <w:b w:val="1"/>
          <w:bCs w:val="1"/>
          <w:sz w:val="24"/>
          <w:szCs w:val="24"/>
          <w:rtl w:val="0"/>
          <w:lang w:val="en-US"/>
        </w:rPr>
        <w:t xml:space="preserve">Layer 9 </w:t>
      </w:r>
      <w:r>
        <w:rPr>
          <w:rFonts w:ascii="Times New Roman" w:hAnsi="Times New Roman" w:hint="default"/>
          <w:b w:val="1"/>
          <w:bCs w:val="1"/>
          <w:sz w:val="24"/>
          <w:szCs w:val="24"/>
          <w:rtl w:val="0"/>
          <w:lang w:val="en-US"/>
        </w:rPr>
        <w:t xml:space="preserve">— </w:t>
      </w:r>
      <w:r>
        <w:rPr>
          <w:rFonts w:ascii="Times New Roman" w:hAnsi="Times New Roman"/>
          <w:b w:val="1"/>
          <w:bCs w:val="1"/>
          <w:sz w:val="24"/>
          <w:szCs w:val="24"/>
          <w:rtl w:val="0"/>
          <w:lang w:val="de-DE"/>
        </w:rPr>
        <w:t>RAG Generator</w:t>
      </w:r>
    </w:p>
    <w:p>
      <w:pPr>
        <w:pStyle w:val="Body"/>
        <w:spacing w:after="120" w:line="360" w:lineRule="auto"/>
        <w:jc w:val="both"/>
      </w:pPr>
      <w:r>
        <w:rPr>
          <w:rFonts w:ascii="Times New Roman" w:hAnsi="Times New Roman"/>
          <w:sz w:val="24"/>
          <w:szCs w:val="24"/>
          <w:rtl w:val="0"/>
          <w:lang w:val="en-US"/>
        </w:rPr>
        <w:t>The RAGGenerator constructs a structured prompt containing all evidence contexts (ACMG classification, SHAP attribution, gnomAD data, ClinVar data, contradiction analysis, uncertainty analysis, PubMed abstracts, PharmGKB data) and queries the Groq LLM API. The system prompt restricts responses to epilepsy genetics scope. The generator is wrapped with error handling to return a graceful error message if the LLM API is unavailable.</w:t>
      </w:r>
    </w:p>
    <w:p>
      <w:pPr>
        <w:pStyle w:val="Body"/>
        <w:spacing w:before="240" w:after="120"/>
      </w:pPr>
      <w:r>
        <w:rPr>
          <w:rFonts w:ascii="Times New Roman" w:hAnsi="Times New Roman"/>
          <w:b w:val="1"/>
          <w:bCs w:val="1"/>
          <w:sz w:val="24"/>
          <w:szCs w:val="24"/>
          <w:rtl w:val="0"/>
          <w:lang w:val="en-US"/>
        </w:rPr>
        <w:t xml:space="preserve">Layer 10 </w:t>
      </w:r>
      <w:r>
        <w:rPr>
          <w:rFonts w:ascii="Times New Roman" w:hAnsi="Times New Roman" w:hint="default"/>
          <w:b w:val="1"/>
          <w:bCs w:val="1"/>
          <w:sz w:val="24"/>
          <w:szCs w:val="24"/>
          <w:rtl w:val="0"/>
          <w:lang w:val="en-US"/>
        </w:rPr>
        <w:t xml:space="preserve">— </w:t>
      </w:r>
      <w:r>
        <w:rPr>
          <w:rFonts w:ascii="Times New Roman" w:hAnsi="Times New Roman"/>
          <w:b w:val="1"/>
          <w:bCs w:val="1"/>
          <w:sz w:val="24"/>
          <w:szCs w:val="24"/>
          <w:rtl w:val="0"/>
          <w:lang w:val="en-US"/>
        </w:rPr>
        <w:t>Response Schema</w:t>
      </w:r>
    </w:p>
    <w:p>
      <w:pPr>
        <w:pStyle w:val="Body"/>
        <w:spacing w:after="120" w:line="360" w:lineRule="auto"/>
        <w:jc w:val="both"/>
      </w:pPr>
      <w:r>
        <w:rPr>
          <w:rFonts w:ascii="Times New Roman" w:hAnsi="Times New Roman"/>
          <w:sz w:val="24"/>
          <w:szCs w:val="24"/>
          <w:rtl w:val="0"/>
          <w:lang w:val="en-US"/>
        </w:rPr>
        <w:t>The FullAnalysisResponse Pydantic model enforces the response structure: prediction, confidence, pathogenic_probability, benign_probability, variant_info, rag_response, sources, is_pathogenic, shap_explanation, gnomad_data, contradictions, uncertainty_analysis, acmg_classification.</w:t>
      </w:r>
    </w:p>
    <w:p>
      <w:pPr>
        <w:pStyle w:val="Body"/>
        <w:spacing w:before="240" w:after="120"/>
      </w:pPr>
      <w:r>
        <w:rPr>
          <w:rFonts w:ascii="Times New Roman" w:hAnsi="Times New Roman"/>
          <w:b w:val="1"/>
          <w:bCs w:val="1"/>
          <w:sz w:val="24"/>
          <w:szCs w:val="24"/>
          <w:rtl w:val="0"/>
          <w:lang w:val="en-US"/>
        </w:rPr>
        <w:t xml:space="preserve">5.3 ACMG Criterion Points </w:t>
      </w:r>
      <w:r>
        <w:rPr>
          <w:rFonts w:ascii="Times New Roman" w:hAnsi="Times New Roman" w:hint="default"/>
          <w:b w:val="1"/>
          <w:bCs w:val="1"/>
          <w:sz w:val="24"/>
          <w:szCs w:val="24"/>
          <w:rtl w:val="0"/>
          <w:lang w:val="en-US"/>
        </w:rPr>
        <w:t xml:space="preserve">— </w:t>
      </w:r>
      <w:r>
        <w:rPr>
          <w:rFonts w:ascii="Times New Roman" w:hAnsi="Times New Roman"/>
          <w:b w:val="1"/>
          <w:bCs w:val="1"/>
          <w:sz w:val="24"/>
          <w:szCs w:val="24"/>
          <w:rtl w:val="0"/>
          <w:lang w:val="it-IT"/>
        </w:rPr>
        <w:t>Tavtigian Model</w:t>
      </w:r>
    </w:p>
    <w:p>
      <w:pPr>
        <w:pStyle w:val="Body"/>
        <w:jc w:val="center"/>
      </w:pPr>
      <w:r>
        <w:rPr>
          <w:rFonts w:ascii="Times New Roman" w:hAnsi="Times New Roman"/>
          <w:b w:val="1"/>
          <w:bCs w:val="1"/>
          <w:sz w:val="24"/>
          <w:szCs w:val="24"/>
          <w:rtl w:val="0"/>
          <w:lang w:val="it-IT"/>
        </w:rPr>
        <w:t>Table 5.1: ACMG/AMP Criterion Points (Tavtigian et al. 2018)</w:t>
      </w:r>
    </w:p>
    <w:tbl>
      <w:tblPr>
        <w:tblW w:w="8788"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97"/>
        <w:gridCol w:w="2197"/>
        <w:gridCol w:w="2197"/>
        <w:gridCol w:w="2197"/>
      </w:tblGrid>
      <w:tr>
        <w:tblPrEx>
          <w:shd w:val="clear" w:color="auto" w:fill="ced7e7"/>
        </w:tblPrEx>
        <w:trPr>
          <w:trHeight w:val="222" w:hRule="atLeast"/>
        </w:trPr>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b w:val="1"/>
                <w:bCs w:val="1"/>
                <w:sz w:val="20"/>
                <w:szCs w:val="20"/>
                <w:shd w:val="nil" w:color="auto" w:fill="auto"/>
                <w:rtl w:val="0"/>
                <w:lang w:val="en-US"/>
              </w:rPr>
              <w:t>Code</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b w:val="1"/>
                <w:bCs w:val="1"/>
                <w:sz w:val="20"/>
                <w:szCs w:val="20"/>
                <w:shd w:val="nil" w:color="auto" w:fill="auto"/>
                <w:rtl w:val="0"/>
                <w:lang w:val="en-US"/>
              </w:rPr>
              <w:t>Category</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b w:val="1"/>
                <w:bCs w:val="1"/>
                <w:sz w:val="20"/>
                <w:szCs w:val="20"/>
                <w:shd w:val="nil" w:color="auto" w:fill="auto"/>
                <w:rtl w:val="0"/>
                <w:lang w:val="en-US"/>
              </w:rPr>
              <w:t>Points</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b w:val="1"/>
                <w:bCs w:val="1"/>
                <w:sz w:val="20"/>
                <w:szCs w:val="20"/>
                <w:shd w:val="nil" w:color="auto" w:fill="auto"/>
                <w:rtl w:val="0"/>
                <w:lang w:val="en-US"/>
              </w:rPr>
              <w:t>Description</w:t>
            </w:r>
          </w:p>
        </w:tc>
      </w:tr>
      <w:tr>
        <w:tblPrEx>
          <w:shd w:val="clear" w:color="auto" w:fill="ced7e7"/>
        </w:tblPrEx>
        <w:trPr>
          <w:trHeight w:val="442" w:hRule="atLeast"/>
        </w:trPr>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PVS1</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Very Strong Pathogenic</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+8</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LOF variant in LOF gene</w:t>
            </w:r>
          </w:p>
        </w:tc>
      </w:tr>
      <w:tr>
        <w:tblPrEx>
          <w:shd w:val="clear" w:color="auto" w:fill="ced7e7"/>
        </w:tblPrEx>
        <w:trPr>
          <w:trHeight w:val="442" w:hRule="atLeast"/>
        </w:trPr>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PS1</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Strong Pathogenic</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+4</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Same amino acid change as known pathogenic</w:t>
            </w:r>
          </w:p>
        </w:tc>
      </w:tr>
      <w:tr>
        <w:tblPrEx>
          <w:shd w:val="clear" w:color="auto" w:fill="ced7e7"/>
        </w:tblPrEx>
        <w:trPr>
          <w:trHeight w:val="442" w:hRule="atLeast"/>
        </w:trPr>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PS2</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Strong Pathogenic</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+4</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Confirmed de novo variant</w:t>
            </w:r>
          </w:p>
        </w:tc>
      </w:tr>
      <w:tr>
        <w:tblPrEx>
          <w:shd w:val="clear" w:color="auto" w:fill="ced7e7"/>
        </w:tblPrEx>
        <w:trPr>
          <w:trHeight w:val="442" w:hRule="atLeast"/>
        </w:trPr>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PS3</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Strong Pathogenic</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+4</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Functional studies confirm damaging effect</w:t>
            </w:r>
          </w:p>
        </w:tc>
      </w:tr>
      <w:tr>
        <w:tblPrEx>
          <w:shd w:val="clear" w:color="auto" w:fill="ced7e7"/>
        </w:tblPrEx>
        <w:trPr>
          <w:trHeight w:val="442" w:hRule="atLeast"/>
        </w:trPr>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PM1</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Moderate Pathogenic</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+2</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Located in mutational hotspot/critical domain</w:t>
            </w:r>
          </w:p>
        </w:tc>
      </w:tr>
      <w:tr>
        <w:tblPrEx>
          <w:shd w:val="clear" w:color="auto" w:fill="ced7e7"/>
        </w:tblPrEx>
        <w:trPr>
          <w:trHeight w:val="442" w:hRule="atLeast"/>
        </w:trPr>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PM2</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Moderate Pathogenic</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+2</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Absent from gnomAD population database</w:t>
            </w:r>
          </w:p>
        </w:tc>
      </w:tr>
      <w:tr>
        <w:tblPrEx>
          <w:shd w:val="clear" w:color="auto" w:fill="ced7e7"/>
        </w:tblPrEx>
        <w:trPr>
          <w:trHeight w:val="442" w:hRule="atLeast"/>
        </w:trPr>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PM4</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Moderate Pathogenic</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+2</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In-frame indel or stop-loss</w:t>
            </w:r>
          </w:p>
        </w:tc>
      </w:tr>
      <w:tr>
        <w:tblPrEx>
          <w:shd w:val="clear" w:color="auto" w:fill="ced7e7"/>
        </w:tblPrEx>
        <w:trPr>
          <w:trHeight w:val="442" w:hRule="atLeast"/>
        </w:trPr>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PM6</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Moderate Pathogenic</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+2</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Assumed de novo (unconfirmed)</w:t>
            </w:r>
          </w:p>
        </w:tc>
      </w:tr>
      <w:tr>
        <w:tblPrEx>
          <w:shd w:val="clear" w:color="auto" w:fill="ced7e7"/>
        </w:tblPrEx>
        <w:trPr>
          <w:trHeight w:val="442" w:hRule="atLeast"/>
        </w:trPr>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PP3</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Supporting Pathogenic</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+1</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ML model predicts damaging (SHAP)</w:t>
            </w:r>
          </w:p>
        </w:tc>
      </w:tr>
      <w:tr>
        <w:tblPrEx>
          <w:shd w:val="clear" w:color="auto" w:fill="ced7e7"/>
        </w:tblPrEx>
        <w:trPr>
          <w:trHeight w:val="442" w:hRule="atLeast"/>
        </w:trPr>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PP5</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Supporting Pathogenic</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+1</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ClinVar: Pathogenic classification</w:t>
            </w:r>
          </w:p>
        </w:tc>
      </w:tr>
      <w:tr>
        <w:tblPrEx>
          <w:shd w:val="clear" w:color="auto" w:fill="ced7e7"/>
        </w:tblPrEx>
        <w:trPr>
          <w:trHeight w:val="442" w:hRule="atLeast"/>
        </w:trPr>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BA1</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Stand-alone Benign</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hint="default"/>
                <w:sz w:val="20"/>
                <w:szCs w:val="20"/>
                <w:shd w:val="nil" w:color="auto" w:fill="auto"/>
                <w:rtl w:val="0"/>
                <w:lang w:val="en-US"/>
              </w:rPr>
              <w:t>−</w:t>
            </w:r>
            <w:r>
              <w:rPr>
                <w:rFonts w:ascii="Times New Roman" w:hAnsi="Times New Roman"/>
                <w:sz w:val="20"/>
                <w:szCs w:val="20"/>
                <w:shd w:val="nil" w:color="auto" w:fill="auto"/>
                <w:rtl w:val="0"/>
                <w:lang w:val="en-US"/>
              </w:rPr>
              <w:t>8</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Allele frequency &gt; 5% in gnomAD</w:t>
            </w:r>
          </w:p>
        </w:tc>
      </w:tr>
      <w:tr>
        <w:tblPrEx>
          <w:shd w:val="clear" w:color="auto" w:fill="ced7e7"/>
        </w:tblPrEx>
        <w:trPr>
          <w:trHeight w:val="442" w:hRule="atLeast"/>
        </w:trPr>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BS1</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Strong Benign</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hint="default"/>
                <w:sz w:val="20"/>
                <w:szCs w:val="20"/>
                <w:shd w:val="nil" w:color="auto" w:fill="auto"/>
                <w:rtl w:val="0"/>
                <w:lang w:val="en-US"/>
              </w:rPr>
              <w:t>−</w:t>
            </w:r>
            <w:r>
              <w:rPr>
                <w:rFonts w:ascii="Times New Roman" w:hAnsi="Times New Roman"/>
                <w:sz w:val="20"/>
                <w:szCs w:val="20"/>
                <w:shd w:val="nil" w:color="auto" w:fill="auto"/>
                <w:rtl w:val="0"/>
                <w:lang w:val="en-US"/>
              </w:rPr>
              <w:t>4</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Allele frequency &gt; 1% in gnomAD</w:t>
            </w:r>
          </w:p>
        </w:tc>
      </w:tr>
      <w:tr>
        <w:tblPrEx>
          <w:shd w:val="clear" w:color="auto" w:fill="ced7e7"/>
        </w:tblPrEx>
        <w:trPr>
          <w:trHeight w:val="442" w:hRule="atLeast"/>
        </w:trPr>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BS2</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Strong Benign</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hint="default"/>
                <w:sz w:val="20"/>
                <w:szCs w:val="20"/>
                <w:shd w:val="nil" w:color="auto" w:fill="auto"/>
                <w:rtl w:val="0"/>
                <w:lang w:val="en-US"/>
              </w:rPr>
              <w:t>−</w:t>
            </w:r>
            <w:r>
              <w:rPr>
                <w:rFonts w:ascii="Times New Roman" w:hAnsi="Times New Roman"/>
                <w:sz w:val="20"/>
                <w:szCs w:val="20"/>
                <w:shd w:val="nil" w:color="auto" w:fill="auto"/>
                <w:rtl w:val="0"/>
                <w:lang w:val="en-US"/>
              </w:rPr>
              <w:t>4</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Observed in healthy individuals</w:t>
            </w:r>
          </w:p>
        </w:tc>
      </w:tr>
      <w:tr>
        <w:tblPrEx>
          <w:shd w:val="clear" w:color="auto" w:fill="ced7e7"/>
        </w:tblPrEx>
        <w:trPr>
          <w:trHeight w:val="442" w:hRule="atLeast"/>
        </w:trPr>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BP4</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Supporting Benign</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hint="default"/>
                <w:sz w:val="20"/>
                <w:szCs w:val="20"/>
                <w:shd w:val="nil" w:color="auto" w:fill="auto"/>
                <w:rtl w:val="0"/>
                <w:lang w:val="en-US"/>
              </w:rPr>
              <w:t>−</w:t>
            </w:r>
            <w:r>
              <w:rPr>
                <w:rFonts w:ascii="Times New Roman" w:hAnsi="Times New Roman"/>
                <w:sz w:val="20"/>
                <w:szCs w:val="20"/>
                <w:shd w:val="nil" w:color="auto" w:fill="auto"/>
                <w:rtl w:val="0"/>
                <w:lang w:val="en-US"/>
              </w:rPr>
              <w:t>1</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ML model predicts tolerated (SHAP)</w:t>
            </w:r>
          </w:p>
        </w:tc>
      </w:tr>
      <w:tr>
        <w:tblPrEx>
          <w:shd w:val="clear" w:color="auto" w:fill="ced7e7"/>
        </w:tblPrEx>
        <w:trPr>
          <w:trHeight w:val="442" w:hRule="atLeast"/>
        </w:trPr>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BP6</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Supporting Benign</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hint="default"/>
                <w:sz w:val="20"/>
                <w:szCs w:val="20"/>
                <w:shd w:val="nil" w:color="auto" w:fill="auto"/>
                <w:rtl w:val="0"/>
                <w:lang w:val="en-US"/>
              </w:rPr>
              <w:t>−</w:t>
            </w:r>
            <w:r>
              <w:rPr>
                <w:rFonts w:ascii="Times New Roman" w:hAnsi="Times New Roman"/>
                <w:sz w:val="20"/>
                <w:szCs w:val="20"/>
                <w:shd w:val="nil" w:color="auto" w:fill="auto"/>
                <w:rtl w:val="0"/>
                <w:lang w:val="en-US"/>
              </w:rPr>
              <w:t>1</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ClinVar: Benign classification</w:t>
            </w:r>
          </w:p>
        </w:tc>
      </w:tr>
      <w:tr>
        <w:tblPrEx>
          <w:shd w:val="clear" w:color="auto" w:fill="ced7e7"/>
        </w:tblPrEx>
        <w:trPr>
          <w:trHeight w:val="442" w:hRule="atLeast"/>
        </w:trPr>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BP7</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Supporting Benign</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hint="default"/>
                <w:sz w:val="20"/>
                <w:szCs w:val="20"/>
                <w:shd w:val="nil" w:color="auto" w:fill="auto"/>
                <w:rtl w:val="0"/>
                <w:lang w:val="en-US"/>
              </w:rPr>
              <w:t>−</w:t>
            </w:r>
            <w:r>
              <w:rPr>
                <w:rFonts w:ascii="Times New Roman" w:hAnsi="Times New Roman"/>
                <w:sz w:val="20"/>
                <w:szCs w:val="20"/>
                <w:shd w:val="nil" w:color="auto" w:fill="auto"/>
                <w:rtl w:val="0"/>
                <w:lang w:val="en-US"/>
              </w:rPr>
              <w:t>1</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Synonymous variant, no splice impact</w:t>
            </w:r>
          </w:p>
        </w:tc>
      </w:tr>
    </w:tbl>
    <w:p>
      <w:pPr>
        <w:pStyle w:val="Body"/>
        <w:widowControl w:val="0"/>
        <w:spacing w:line="240" w:lineRule="auto"/>
        <w:jc w:val="center"/>
      </w:pPr>
    </w:p>
    <w:p>
      <w:pPr>
        <w:pStyle w:val="Body"/>
        <w:spacing w:before="240" w:after="120"/>
      </w:pPr>
      <w:r>
        <w:rPr>
          <w:rFonts w:ascii="Times New Roman" w:hAnsi="Times New Roman"/>
          <w:b w:val="1"/>
          <w:bCs w:val="1"/>
          <w:sz w:val="24"/>
          <w:szCs w:val="24"/>
          <w:rtl w:val="0"/>
          <w:lang w:val="en-US"/>
        </w:rPr>
        <w:t>5.4 Classification Thresholds</w:t>
      </w:r>
    </w:p>
    <w:p>
      <w:pPr>
        <w:pStyle w:val="Body"/>
        <w:spacing w:after="120" w:line="36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The five-tier classification uses the following Tavtigian score thresholds:</w:t>
      </w:r>
    </w:p>
    <w:p>
      <w:pPr>
        <w:pStyle w:val="Body"/>
        <w:spacing w:after="120" w:line="360" w:lineRule="auto"/>
        <w:jc w:val="center"/>
        <w:rPr>
          <w:rFonts w:ascii="Cambria Bold" w:cs="Cambria Bold" w:hAnsi="Cambria Bold" w:eastAsia="Cambria Bold"/>
        </w:rPr>
      </w:pPr>
      <w:r>
        <w:rPr>
          <w:rFonts w:ascii="Times New Roman" w:hAnsi="Times New Roman"/>
          <w:b w:val="1"/>
          <w:bCs w:val="1"/>
          <w:sz w:val="24"/>
          <w:szCs w:val="24"/>
          <w:rtl w:val="0"/>
          <w:lang w:val="en-US"/>
        </w:rPr>
        <w:t xml:space="preserve">Table 5.2: </w:t>
      </w:r>
      <w:r>
        <w:rPr>
          <w:rFonts w:ascii="Times New Roman" w:hAnsi="Times New Roman"/>
          <w:b w:val="1"/>
          <w:bCs w:val="1"/>
          <w:sz w:val="24"/>
          <w:szCs w:val="24"/>
          <w:rtl w:val="0"/>
          <w:lang w:val="en-US"/>
        </w:rPr>
        <w:t>Five-Tier Classification Score Thresholds</w:t>
      </w:r>
    </w:p>
    <w:tbl>
      <w:tblPr>
        <w:tblW w:w="8788"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394"/>
        <w:gridCol w:w="4394"/>
      </w:tblGrid>
      <w:tr>
        <w:tblPrEx>
          <w:shd w:val="clear" w:color="auto" w:fill="ced7e7"/>
        </w:tblPrEx>
        <w:trPr>
          <w:trHeight w:val="241" w:hRule="atLeast"/>
        </w:trPr>
        <w:tc>
          <w:tcPr>
            <w:tcW w:type="dxa" w:w="4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b w:val="1"/>
                <w:bCs w:val="1"/>
                <w:shd w:val="nil" w:color="auto" w:fill="auto"/>
                <w:rtl w:val="0"/>
                <w:lang w:val="en-US"/>
              </w:rPr>
              <w:t>Total Score</w:t>
            </w:r>
          </w:p>
        </w:tc>
        <w:tc>
          <w:tcPr>
            <w:tcW w:type="dxa" w:w="4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b w:val="1"/>
                <w:bCs w:val="1"/>
                <w:shd w:val="nil" w:color="auto" w:fill="auto"/>
                <w:rtl w:val="0"/>
                <w:lang w:val="en-US"/>
              </w:rPr>
              <w:t>Classification</w:t>
            </w:r>
          </w:p>
        </w:tc>
      </w:tr>
      <w:tr>
        <w:tblPrEx>
          <w:shd w:val="clear" w:color="auto" w:fill="ced7e7"/>
        </w:tblPrEx>
        <w:trPr>
          <w:trHeight w:val="241" w:hRule="atLeast"/>
        </w:trPr>
        <w:tc>
          <w:tcPr>
            <w:tcW w:type="dxa" w:w="4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hint="default"/>
                <w:shd w:val="nil" w:color="auto" w:fill="auto"/>
                <w:rtl w:val="0"/>
                <w:lang w:val="en-US"/>
              </w:rPr>
              <w:t xml:space="preserve">≥ </w:t>
            </w:r>
            <w:r>
              <w:rPr>
                <w:rFonts w:ascii="Times New Roman" w:hAnsi="Times New Roman"/>
                <w:shd w:val="nil" w:color="auto" w:fill="auto"/>
                <w:rtl w:val="0"/>
                <w:lang w:val="en-US"/>
              </w:rPr>
              <w:t>10</w:t>
            </w:r>
          </w:p>
        </w:tc>
        <w:tc>
          <w:tcPr>
            <w:tcW w:type="dxa" w:w="4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Pathogenic</w:t>
            </w:r>
          </w:p>
        </w:tc>
      </w:tr>
      <w:tr>
        <w:tblPrEx>
          <w:shd w:val="clear" w:color="auto" w:fill="ced7e7"/>
        </w:tblPrEx>
        <w:trPr>
          <w:trHeight w:val="241" w:hRule="atLeast"/>
        </w:trPr>
        <w:tc>
          <w:tcPr>
            <w:tcW w:type="dxa" w:w="4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 xml:space="preserve">6 </w:t>
            </w:r>
            <w:r>
              <w:rPr>
                <w:rFonts w:ascii="Times New Roman" w:hAnsi="Times New Roman" w:hint="default"/>
                <w:shd w:val="nil" w:color="auto" w:fill="auto"/>
                <w:rtl w:val="0"/>
                <w:lang w:val="en-US"/>
              </w:rPr>
              <w:t xml:space="preserve">– </w:t>
            </w:r>
            <w:r>
              <w:rPr>
                <w:rFonts w:ascii="Times New Roman" w:hAnsi="Times New Roman"/>
                <w:shd w:val="nil" w:color="auto" w:fill="auto"/>
                <w:rtl w:val="0"/>
                <w:lang w:val="en-US"/>
              </w:rPr>
              <w:t>9</w:t>
            </w:r>
          </w:p>
        </w:tc>
        <w:tc>
          <w:tcPr>
            <w:tcW w:type="dxa" w:w="4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Likely Pathogenic</w:t>
            </w:r>
          </w:p>
        </w:tc>
      </w:tr>
      <w:tr>
        <w:tblPrEx>
          <w:shd w:val="clear" w:color="auto" w:fill="ced7e7"/>
        </w:tblPrEx>
        <w:trPr>
          <w:trHeight w:val="241" w:hRule="atLeast"/>
        </w:trPr>
        <w:tc>
          <w:tcPr>
            <w:tcW w:type="dxa" w:w="4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 xml:space="preserve">1 </w:t>
            </w:r>
            <w:r>
              <w:rPr>
                <w:rFonts w:ascii="Times New Roman" w:hAnsi="Times New Roman" w:hint="default"/>
                <w:shd w:val="nil" w:color="auto" w:fill="auto"/>
                <w:rtl w:val="0"/>
                <w:lang w:val="en-US"/>
              </w:rPr>
              <w:t xml:space="preserve">– </w:t>
            </w:r>
            <w:r>
              <w:rPr>
                <w:rFonts w:ascii="Times New Roman" w:hAnsi="Times New Roman"/>
                <w:shd w:val="nil" w:color="auto" w:fill="auto"/>
                <w:rtl w:val="0"/>
                <w:lang w:val="en-US"/>
              </w:rPr>
              <w:t>5</w:t>
            </w:r>
          </w:p>
        </w:tc>
        <w:tc>
          <w:tcPr>
            <w:tcW w:type="dxa" w:w="4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Variant of Uncertain Significance (VUS)</w:t>
            </w:r>
          </w:p>
        </w:tc>
      </w:tr>
      <w:tr>
        <w:tblPrEx>
          <w:shd w:val="clear" w:color="auto" w:fill="ced7e7"/>
        </w:tblPrEx>
        <w:trPr>
          <w:trHeight w:val="241" w:hRule="atLeast"/>
        </w:trPr>
        <w:tc>
          <w:tcPr>
            <w:tcW w:type="dxa" w:w="4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hint="default"/>
                <w:shd w:val="nil" w:color="auto" w:fill="auto"/>
                <w:rtl w:val="0"/>
                <w:lang w:val="en-US"/>
              </w:rPr>
              <w:t>−</w:t>
            </w:r>
            <w:r>
              <w:rPr>
                <w:rFonts w:ascii="Times New Roman" w:hAnsi="Times New Roman"/>
                <w:shd w:val="nil" w:color="auto" w:fill="auto"/>
                <w:rtl w:val="0"/>
                <w:lang w:val="en-US"/>
              </w:rPr>
              <w:t xml:space="preserve">1 to </w:t>
            </w:r>
            <w:r>
              <w:rPr>
                <w:rFonts w:ascii="Times New Roman" w:hAnsi="Times New Roman" w:hint="default"/>
                <w:shd w:val="nil" w:color="auto" w:fill="auto"/>
                <w:rtl w:val="0"/>
                <w:lang w:val="en-US"/>
              </w:rPr>
              <w:t>−</w:t>
            </w:r>
            <w:r>
              <w:rPr>
                <w:rFonts w:ascii="Times New Roman" w:hAnsi="Times New Roman"/>
                <w:shd w:val="nil" w:color="auto" w:fill="auto"/>
                <w:rtl w:val="0"/>
                <w:lang w:val="en-US"/>
              </w:rPr>
              <w:t>6</w:t>
            </w:r>
          </w:p>
        </w:tc>
        <w:tc>
          <w:tcPr>
            <w:tcW w:type="dxa" w:w="4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Likely Benign</w:t>
            </w:r>
          </w:p>
        </w:tc>
      </w:tr>
      <w:tr>
        <w:tblPrEx>
          <w:shd w:val="clear" w:color="auto" w:fill="ced7e7"/>
        </w:tblPrEx>
        <w:trPr>
          <w:trHeight w:val="241" w:hRule="atLeast"/>
        </w:trPr>
        <w:tc>
          <w:tcPr>
            <w:tcW w:type="dxa" w:w="4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hint="default"/>
                <w:shd w:val="nil" w:color="auto" w:fill="auto"/>
                <w:rtl w:val="0"/>
                <w:lang w:val="en-US"/>
              </w:rPr>
              <w:t>≤ −</w:t>
            </w:r>
            <w:r>
              <w:rPr>
                <w:rFonts w:ascii="Times New Roman" w:hAnsi="Times New Roman"/>
                <w:shd w:val="nil" w:color="auto" w:fill="auto"/>
                <w:rtl w:val="0"/>
                <w:lang w:val="en-US"/>
              </w:rPr>
              <w:t>7 or BA1</w:t>
            </w:r>
          </w:p>
        </w:tc>
        <w:tc>
          <w:tcPr>
            <w:tcW w:type="dxa" w:w="4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Benign</w:t>
            </w:r>
          </w:p>
        </w:tc>
      </w:tr>
    </w:tbl>
    <w:p>
      <w:pPr>
        <w:pStyle w:val="Body"/>
        <w:widowControl w:val="0"/>
        <w:spacing w:after="120" w:line="240" w:lineRule="auto"/>
        <w:jc w:val="center"/>
      </w:pPr>
    </w:p>
    <w:p>
      <w:pPr>
        <w:pStyle w:val="Body"/>
        <w:widowControl w:val="0"/>
        <w:spacing w:after="120" w:line="240" w:lineRule="auto"/>
        <w:jc w:val="center"/>
        <w:rPr>
          <w:rFonts w:ascii="Cambria Bold" w:cs="Cambria Bold" w:hAnsi="Cambria Bold" w:eastAsia="Cambria Bold"/>
        </w:rPr>
      </w:pPr>
    </w:p>
    <w:p>
      <w:pPr>
        <w:pStyle w:val="Body"/>
        <w:widowControl w:val="0"/>
        <w:spacing w:after="120" w:line="240" w:lineRule="auto"/>
        <w:jc w:val="center"/>
      </w:pPr>
    </w:p>
    <w:p>
      <w:pPr>
        <w:pStyle w:val="Body"/>
        <w:widowControl w:val="0"/>
        <w:spacing w:after="120" w:line="240" w:lineRule="auto"/>
        <w:jc w:val="center"/>
      </w:pPr>
    </w:p>
    <w:p>
      <w:pPr>
        <w:pStyle w:val="Body"/>
        <w:widowControl w:val="0"/>
        <w:spacing w:after="120" w:line="240" w:lineRule="auto"/>
        <w:jc w:val="center"/>
      </w:pPr>
    </w:p>
    <w:p>
      <w:pPr>
        <w:pStyle w:val="Body"/>
        <w:widowControl w:val="0"/>
        <w:spacing w:after="120" w:line="240" w:lineRule="auto"/>
        <w:jc w:val="center"/>
      </w:pPr>
    </w:p>
    <w:p>
      <w:pPr>
        <w:pStyle w:val="Body"/>
        <w:widowControl w:val="0"/>
        <w:spacing w:after="120" w:line="240" w:lineRule="auto"/>
        <w:jc w:val="center"/>
      </w:pPr>
    </w:p>
    <w:p>
      <w:pPr>
        <w:pStyle w:val="Body"/>
        <w:widowControl w:val="0"/>
        <w:spacing w:after="120" w:line="240" w:lineRule="auto"/>
        <w:jc w:val="center"/>
      </w:pPr>
    </w:p>
    <w:p>
      <w:pPr>
        <w:pStyle w:val="Body"/>
        <w:widowControl w:val="0"/>
        <w:spacing w:after="120" w:line="240" w:lineRule="auto"/>
        <w:jc w:val="center"/>
      </w:pPr>
    </w:p>
    <w:p>
      <w:pPr>
        <w:pStyle w:val="Body"/>
        <w:widowControl w:val="0"/>
        <w:spacing w:after="120" w:line="240" w:lineRule="auto"/>
        <w:jc w:val="center"/>
      </w:pPr>
    </w:p>
    <w:p>
      <w:pPr>
        <w:pStyle w:val="Body"/>
        <w:widowControl w:val="0"/>
        <w:spacing w:after="120" w:line="240" w:lineRule="auto"/>
        <w:jc w:val="center"/>
      </w:pPr>
    </w:p>
    <w:p>
      <w:pPr>
        <w:pStyle w:val="Body"/>
        <w:widowControl w:val="0"/>
        <w:spacing w:after="120" w:line="240" w:lineRule="auto"/>
        <w:jc w:val="center"/>
      </w:pPr>
    </w:p>
    <w:p>
      <w:pPr>
        <w:pStyle w:val="Body"/>
        <w:widowControl w:val="0"/>
        <w:spacing w:after="120" w:line="240" w:lineRule="auto"/>
        <w:jc w:val="center"/>
      </w:pPr>
    </w:p>
    <w:p>
      <w:pPr>
        <w:pStyle w:val="Body"/>
        <w:widowControl w:val="0"/>
        <w:spacing w:after="120" w:line="240" w:lineRule="auto"/>
        <w:jc w:val="center"/>
      </w:pPr>
    </w:p>
    <w:p>
      <w:pPr>
        <w:pStyle w:val="Body"/>
        <w:widowControl w:val="0"/>
        <w:spacing w:after="120" w:line="240" w:lineRule="auto"/>
        <w:jc w:val="center"/>
      </w:pPr>
    </w:p>
    <w:p>
      <w:pPr>
        <w:pStyle w:val="Body"/>
        <w:widowControl w:val="0"/>
        <w:spacing w:after="120" w:line="240" w:lineRule="auto"/>
        <w:jc w:val="center"/>
      </w:pPr>
    </w:p>
    <w:p>
      <w:pPr>
        <w:pStyle w:val="Body"/>
        <w:widowControl w:val="0"/>
        <w:spacing w:after="120" w:line="240" w:lineRule="auto"/>
        <w:jc w:val="center"/>
      </w:pPr>
    </w:p>
    <w:p>
      <w:pPr>
        <w:pStyle w:val="Body"/>
        <w:widowControl w:val="0"/>
        <w:spacing w:after="120" w:line="240" w:lineRule="auto"/>
        <w:jc w:val="center"/>
      </w:pPr>
    </w:p>
    <w:p>
      <w:pPr>
        <w:pStyle w:val="Body"/>
        <w:spacing w:before="240" w:after="120"/>
      </w:pPr>
      <w:r>
        <w:rPr>
          <w:rFonts w:ascii="Times New Roman" w:hAnsi="Times New Roman"/>
          <w:b w:val="1"/>
          <w:bCs w:val="1"/>
          <w:sz w:val="24"/>
          <w:szCs w:val="24"/>
          <w:rtl w:val="0"/>
          <w:lang w:val="en-US"/>
        </w:rPr>
        <w:t>5.5 Flow Diagram</w:t>
      </w:r>
    </w:p>
    <w:p>
      <w:pPr>
        <w:pStyle w:val="Body"/>
        <w:spacing w:after="120" w:line="360" w:lineRule="auto"/>
        <w:jc w:val="both"/>
      </w:pPr>
      <w:r>
        <w:rPr>
          <w:rFonts w:ascii="Times New Roman" w:hAnsi="Times New Roman"/>
          <w:sz w:val="24"/>
          <w:szCs w:val="24"/>
          <w:rtl w:val="0"/>
          <w:lang w:val="en-US"/>
        </w:rPr>
        <w:t>Fig. 5.1 shows the complete data pipeline flowchart from raw ClinVar data ingestion through preprocessing, feature engineering, model training, and deployment. This flowchart, derived from the system's research publication, illustrates the end-to-end pipeline that transforms raw variant records into the trained, calibrated ML model deployed in the production system</w:t>
      </w:r>
      <w:r>
        <w:rPr>
          <w:rFonts w:ascii="Times New Roman" w:hAnsi="Times New Roman"/>
          <w:sz w:val="24"/>
          <w:szCs w:val="24"/>
          <w:rtl w:val="0"/>
          <w:lang w:val="en-US"/>
        </w:rPr>
        <w:t>.</w:t>
      </w:r>
    </w:p>
    <w:p>
      <w:pPr>
        <w:pStyle w:val="Body"/>
        <w:jc w:val="center"/>
      </w:pPr>
      <w:r>
        <w:drawing xmlns:a="http://schemas.openxmlformats.org/drawingml/2006/main">
          <wp:inline distT="0" distB="0" distL="0" distR="0">
            <wp:extent cx="5303521" cy="6353977"/>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8">
                      <a:extLst/>
                    </a:blip>
                    <a:stretch>
                      <a:fillRect/>
                    </a:stretch>
                  </pic:blipFill>
                  <pic:spPr>
                    <a:xfrm>
                      <a:off x="0" y="0"/>
                      <a:ext cx="5303521" cy="6353977"/>
                    </a:xfrm>
                    <a:prstGeom prst="rect">
                      <a:avLst/>
                    </a:prstGeom>
                    <a:ln w="12700" cap="flat">
                      <a:noFill/>
                      <a:miter lim="400000"/>
                    </a:ln>
                    <a:effectLst/>
                  </pic:spPr>
                </pic:pic>
              </a:graphicData>
            </a:graphic>
          </wp:inline>
        </w:drawing>
      </w:r>
    </w:p>
    <w:p>
      <w:pPr>
        <w:pStyle w:val="Body"/>
        <w:jc w:val="center"/>
        <w:rPr>
          <w:rFonts w:ascii="Times New Roman" w:cs="Times New Roman" w:hAnsi="Times New Roman" w:eastAsia="Times New Roman"/>
          <w:b w:val="1"/>
          <w:bCs w:val="1"/>
          <w:i w:val="1"/>
          <w:iCs w:val="1"/>
        </w:rPr>
      </w:pPr>
      <w:r>
        <w:rPr>
          <w:rFonts w:ascii="Times New Roman" w:hAnsi="Times New Roman"/>
          <w:b w:val="1"/>
          <w:bCs w:val="1"/>
          <w:i w:val="1"/>
          <w:iCs w:val="1"/>
          <w:rtl w:val="0"/>
        </w:rPr>
        <w:t xml:space="preserve">Fig. 5.1: System Data Pipeline Flowchart </w:t>
      </w:r>
      <w:r>
        <w:rPr>
          <w:rFonts w:ascii="Times New Roman" w:hAnsi="Times New Roman" w:hint="default"/>
          <w:b w:val="1"/>
          <w:bCs w:val="1"/>
          <w:i w:val="1"/>
          <w:iCs w:val="1"/>
          <w:rtl w:val="0"/>
          <w:lang w:val="en-US"/>
        </w:rPr>
        <w:t xml:space="preserve">— </w:t>
      </w:r>
      <w:r>
        <w:rPr>
          <w:rFonts w:ascii="Times New Roman" w:hAnsi="Times New Roman"/>
          <w:b w:val="1"/>
          <w:bCs w:val="1"/>
          <w:i w:val="1"/>
          <w:iCs w:val="1"/>
          <w:rtl w:val="0"/>
          <w:lang w:val="en-US"/>
        </w:rPr>
        <w:t>ClinVar Download, VUS/UTR Filtering, Stratified Split and SMOTE+Tomek Resampling</w:t>
      </w:r>
    </w:p>
    <w:p>
      <w:pPr>
        <w:pStyle w:val="Body"/>
        <w:jc w:val="center"/>
        <w:rPr>
          <w:rFonts w:ascii="Times New Roman" w:cs="Times New Roman" w:hAnsi="Times New Roman" w:eastAsia="Times New Roman"/>
          <w:b w:val="1"/>
          <w:bCs w:val="1"/>
          <w:i w:val="1"/>
          <w:iCs w:val="1"/>
        </w:rPr>
      </w:pPr>
    </w:p>
    <w:p>
      <w:pPr>
        <w:pStyle w:val="Body"/>
        <w:jc w:val="center"/>
        <w:rPr>
          <w:rFonts w:ascii="Times New Roman" w:cs="Times New Roman" w:hAnsi="Times New Roman" w:eastAsia="Times New Roman"/>
          <w:b w:val="1"/>
          <w:bCs w:val="1"/>
          <w:i w:val="1"/>
          <w:iCs w:val="1"/>
        </w:rPr>
      </w:pPr>
    </w:p>
    <w:p>
      <w:pPr>
        <w:pStyle w:val="Body"/>
        <w:jc w:val="center"/>
        <w:rPr>
          <w:rFonts w:ascii="Times New Roman" w:cs="Times New Roman" w:hAnsi="Times New Roman" w:eastAsia="Times New Roman"/>
          <w:b w:val="1"/>
          <w:bCs w:val="1"/>
          <w:i w:val="1"/>
          <w:iCs w:val="1"/>
        </w:rPr>
      </w:pPr>
    </w:p>
    <w:p>
      <w:pPr>
        <w:pStyle w:val="Body"/>
        <w:jc w:val="center"/>
        <w:rPr>
          <w:rFonts w:ascii="Times New Roman" w:cs="Times New Roman" w:hAnsi="Times New Roman" w:eastAsia="Times New Roman"/>
          <w:b w:val="1"/>
          <w:bCs w:val="1"/>
          <w:i w:val="1"/>
          <w:iCs w:val="1"/>
        </w:rPr>
      </w:pPr>
    </w:p>
    <w:p>
      <w:pPr>
        <w:pStyle w:val="Body"/>
        <w:jc w:val="center"/>
      </w:pPr>
    </w:p>
    <w:p>
      <w:pPr>
        <w:pStyle w:val="Body"/>
        <w:spacing w:after="120" w:line="360" w:lineRule="auto"/>
        <w:jc w:val="both"/>
      </w:pPr>
      <w:r>
        <w:rPr>
          <w:rFonts w:ascii="Times New Roman" w:hAnsi="Times New Roman"/>
          <w:sz w:val="24"/>
          <w:szCs w:val="24"/>
          <w:rtl w:val="0"/>
          <w:lang w:val="en-US"/>
        </w:rPr>
        <w:t>Fig. 5.2 shows the full ten-layer inference pipeline, tracing a single variant analysis request from the FastAPI input validation layer through feature engineering, ML inference, SHAP explainability, ACMG classification, multi-source retrieval, confidence resolution, contradiction detection, and LLM narrative generation.</w:t>
      </w:r>
    </w:p>
    <w:p>
      <w:pPr>
        <w:pStyle w:val="Body"/>
        <w:jc w:val="center"/>
      </w:pPr>
      <w:r>
        <w:drawing xmlns:a="http://schemas.openxmlformats.org/drawingml/2006/main">
          <wp:inline distT="0" distB="0" distL="0" distR="0">
            <wp:extent cx="5303521" cy="5900845"/>
            <wp:effectExtent l="0" t="0" r="0" b="0"/>
            <wp:docPr id="1073741826" name="officeArt object" descr="Picture 2"/>
            <wp:cNvGraphicFramePr/>
            <a:graphic xmlns:a="http://schemas.openxmlformats.org/drawingml/2006/main">
              <a:graphicData uri="http://schemas.openxmlformats.org/drawingml/2006/picture">
                <pic:pic xmlns:pic="http://schemas.openxmlformats.org/drawingml/2006/picture">
                  <pic:nvPicPr>
                    <pic:cNvPr id="1073741826" name="Picture 2" descr="Picture 2"/>
                    <pic:cNvPicPr>
                      <a:picLocks noChangeAspect="1"/>
                    </pic:cNvPicPr>
                  </pic:nvPicPr>
                  <pic:blipFill>
                    <a:blip r:embed="rId9">
                      <a:extLst/>
                    </a:blip>
                    <a:stretch>
                      <a:fillRect/>
                    </a:stretch>
                  </pic:blipFill>
                  <pic:spPr>
                    <a:xfrm>
                      <a:off x="0" y="0"/>
                      <a:ext cx="5303521" cy="5900845"/>
                    </a:xfrm>
                    <a:prstGeom prst="rect">
                      <a:avLst/>
                    </a:prstGeom>
                    <a:ln w="12700" cap="flat">
                      <a:noFill/>
                      <a:miter lim="400000"/>
                    </a:ln>
                    <a:effectLst/>
                  </pic:spPr>
                </pic:pic>
              </a:graphicData>
            </a:graphic>
          </wp:inline>
        </w:drawing>
      </w:r>
    </w:p>
    <w:p>
      <w:pPr>
        <w:pStyle w:val="Body"/>
        <w:jc w:val="center"/>
        <w:rPr>
          <w:rFonts w:ascii="Times New Roman" w:cs="Times New Roman" w:hAnsi="Times New Roman" w:eastAsia="Times New Roman"/>
          <w:b w:val="1"/>
          <w:bCs w:val="1"/>
          <w:i w:val="1"/>
          <w:iCs w:val="1"/>
        </w:rPr>
      </w:pPr>
      <w:r>
        <w:rPr>
          <w:rFonts w:ascii="Times New Roman" w:hAnsi="Times New Roman"/>
          <w:b w:val="1"/>
          <w:bCs w:val="1"/>
          <w:i w:val="1"/>
          <w:iCs w:val="1"/>
          <w:rtl w:val="0"/>
        </w:rPr>
        <w:t xml:space="preserve">Fig. 5.2: Module Chain </w:t>
      </w:r>
      <w:r>
        <w:rPr>
          <w:rFonts w:ascii="Times New Roman" w:hAnsi="Times New Roman" w:hint="default"/>
          <w:b w:val="1"/>
          <w:bCs w:val="1"/>
          <w:i w:val="1"/>
          <w:iCs w:val="1"/>
          <w:rtl w:val="0"/>
          <w:lang w:val="en-US"/>
        </w:rPr>
        <w:t xml:space="preserve">— </w:t>
      </w:r>
      <w:r>
        <w:rPr>
          <w:rFonts w:ascii="Times New Roman" w:hAnsi="Times New Roman"/>
          <w:b w:val="1"/>
          <w:bCs w:val="1"/>
          <w:i w:val="1"/>
          <w:iCs w:val="1"/>
          <w:rtl w:val="0"/>
          <w:lang w:val="en-US"/>
        </w:rPr>
        <w:t>Blue Boxes Run on Every Request; Orange Boxes Activate for Pathogenic or Uncertain Predictions</w:t>
      </w:r>
    </w:p>
    <w:p>
      <w:pPr>
        <w:pStyle w:val="Body"/>
        <w:jc w:val="center"/>
        <w:rPr>
          <w:rFonts w:ascii="Times New Roman" w:cs="Times New Roman" w:hAnsi="Times New Roman" w:eastAsia="Times New Roman"/>
          <w:b w:val="1"/>
          <w:bCs w:val="1"/>
          <w:i w:val="1"/>
          <w:iCs w:val="1"/>
        </w:rPr>
      </w:pPr>
    </w:p>
    <w:p>
      <w:pPr>
        <w:pStyle w:val="Body"/>
        <w:jc w:val="center"/>
        <w:rPr>
          <w:rFonts w:ascii="Times New Roman" w:cs="Times New Roman" w:hAnsi="Times New Roman" w:eastAsia="Times New Roman"/>
          <w:b w:val="1"/>
          <w:bCs w:val="1"/>
          <w:i w:val="1"/>
          <w:iCs w:val="1"/>
        </w:rPr>
      </w:pPr>
    </w:p>
    <w:p>
      <w:pPr>
        <w:pStyle w:val="Body"/>
        <w:jc w:val="center"/>
        <w:rPr>
          <w:rFonts w:ascii="Times New Roman" w:cs="Times New Roman" w:hAnsi="Times New Roman" w:eastAsia="Times New Roman"/>
          <w:b w:val="1"/>
          <w:bCs w:val="1"/>
          <w:i w:val="1"/>
          <w:iCs w:val="1"/>
        </w:rPr>
      </w:pPr>
    </w:p>
    <w:p>
      <w:pPr>
        <w:pStyle w:val="Body"/>
        <w:jc w:val="center"/>
        <w:rPr>
          <w:rFonts w:ascii="Times New Roman" w:cs="Times New Roman" w:hAnsi="Times New Roman" w:eastAsia="Times New Roman"/>
          <w:b w:val="1"/>
          <w:bCs w:val="1"/>
          <w:i w:val="1"/>
          <w:iCs w:val="1"/>
        </w:rPr>
      </w:pPr>
    </w:p>
    <w:p>
      <w:pPr>
        <w:pStyle w:val="Body"/>
        <w:jc w:val="center"/>
        <w:rPr>
          <w:rFonts w:ascii="Times New Roman" w:cs="Times New Roman" w:hAnsi="Times New Roman" w:eastAsia="Times New Roman"/>
          <w:b w:val="1"/>
          <w:bCs w:val="1"/>
          <w:i w:val="1"/>
          <w:iCs w:val="1"/>
        </w:rPr>
      </w:pPr>
    </w:p>
    <w:p>
      <w:pPr>
        <w:pStyle w:val="Body"/>
        <w:jc w:val="center"/>
        <w:rPr>
          <w:rFonts w:ascii="Times New Roman" w:cs="Times New Roman" w:hAnsi="Times New Roman" w:eastAsia="Times New Roman"/>
          <w:b w:val="1"/>
          <w:bCs w:val="1"/>
          <w:i w:val="1"/>
          <w:iCs w:val="1"/>
        </w:rPr>
      </w:pPr>
    </w:p>
    <w:p>
      <w:pPr>
        <w:pStyle w:val="Body"/>
        <w:jc w:val="center"/>
      </w:pPr>
    </w:p>
    <w:p>
      <w:pPr>
        <w:pStyle w:val="Body"/>
        <w:spacing w:after="120" w:line="360" w:lineRule="auto"/>
        <w:jc w:val="both"/>
      </w:pPr>
      <w:r>
        <w:rPr>
          <w:rFonts w:ascii="Times New Roman" w:hAnsi="Times New Roman"/>
          <w:sz w:val="24"/>
          <w:szCs w:val="24"/>
          <w:rtl w:val="0"/>
          <w:lang w:val="en-US"/>
        </w:rPr>
        <w:t>Fig. 5.3 presents the simplified ten-layer view of the same pipeline, showing each layer's role and the data artefact it produces.</w:t>
      </w:r>
    </w:p>
    <w:p>
      <w:pPr>
        <w:pStyle w:val="Body"/>
        <w:jc w:val="center"/>
      </w:pPr>
      <w:r>
        <w:drawing xmlns:a="http://schemas.openxmlformats.org/drawingml/2006/main">
          <wp:inline distT="0" distB="0" distL="0" distR="0">
            <wp:extent cx="5303521" cy="4597592"/>
            <wp:effectExtent l="0" t="0" r="0" b="0"/>
            <wp:docPr id="1073741827" name="officeArt object" descr="Picture 3"/>
            <wp:cNvGraphicFramePr/>
            <a:graphic xmlns:a="http://schemas.openxmlformats.org/drawingml/2006/main">
              <a:graphicData uri="http://schemas.openxmlformats.org/drawingml/2006/picture">
                <pic:pic xmlns:pic="http://schemas.openxmlformats.org/drawingml/2006/picture">
                  <pic:nvPicPr>
                    <pic:cNvPr id="1073741827" name="Picture 3" descr="Picture 3"/>
                    <pic:cNvPicPr>
                      <a:picLocks noChangeAspect="1"/>
                    </pic:cNvPicPr>
                  </pic:nvPicPr>
                  <pic:blipFill>
                    <a:blip r:embed="rId10">
                      <a:extLst/>
                    </a:blip>
                    <a:stretch>
                      <a:fillRect/>
                    </a:stretch>
                  </pic:blipFill>
                  <pic:spPr>
                    <a:xfrm>
                      <a:off x="0" y="0"/>
                      <a:ext cx="5303521" cy="4597592"/>
                    </a:xfrm>
                    <a:prstGeom prst="rect">
                      <a:avLst/>
                    </a:prstGeom>
                    <a:ln w="12700" cap="flat">
                      <a:noFill/>
                      <a:miter lim="400000"/>
                    </a:ln>
                    <a:effectLst/>
                  </pic:spPr>
                </pic:pic>
              </a:graphicData>
            </a:graphic>
          </wp:inline>
        </w:drawing>
      </w:r>
    </w:p>
    <w:p>
      <w:pPr>
        <w:pStyle w:val="Body"/>
        <w:jc w:val="center"/>
      </w:pPr>
      <w:r>
        <w:rPr>
          <w:rFonts w:ascii="Times New Roman" w:hAnsi="Times New Roman"/>
          <w:b w:val="1"/>
          <w:bCs w:val="1"/>
          <w:i w:val="1"/>
          <w:iCs w:val="1"/>
          <w:rtl w:val="0"/>
          <w:lang w:val="en-US"/>
        </w:rPr>
        <w:t xml:space="preserve">Fig. 5.3: Ten-Layer System Architecture </w:t>
      </w:r>
      <w:r>
        <w:rPr>
          <w:rFonts w:ascii="Times New Roman" w:hAnsi="Times New Roman" w:hint="default"/>
          <w:b w:val="1"/>
          <w:bCs w:val="1"/>
          <w:i w:val="1"/>
          <w:iCs w:val="1"/>
          <w:rtl w:val="0"/>
          <w:lang w:val="en-US"/>
        </w:rPr>
        <w:t xml:space="preserve">— </w:t>
      </w:r>
      <w:r>
        <w:rPr>
          <w:rFonts w:ascii="Times New Roman" w:hAnsi="Times New Roman"/>
          <w:b w:val="1"/>
          <w:bCs w:val="1"/>
          <w:i w:val="1"/>
          <w:iCs w:val="1"/>
          <w:rtl w:val="0"/>
          <w:lang w:val="en-US"/>
        </w:rPr>
        <w:t>L1 React Frontend to L10 PredictionResult JSON</w:t>
      </w:r>
    </w:p>
    <w:p>
      <w:pPr>
        <w:pStyle w:val="Body"/>
      </w:pPr>
      <w:r>
        <w:rPr>
          <w:rFonts w:ascii="Arial Unicode MS" w:cs="Arial Unicode MS" w:hAnsi="Arial Unicode MS" w:eastAsia="Arial Unicode MS"/>
          <w:b w:val="0"/>
          <w:bCs w:val="0"/>
          <w:i w:val="0"/>
          <w:iCs w:val="0"/>
        </w:rPr>
        <w:br w:type="page"/>
      </w:r>
    </w:p>
    <w:p>
      <w:pPr>
        <w:pStyle w:val="Body"/>
        <w:spacing w:before="360" w:after="0"/>
        <w:jc w:val="right"/>
      </w:pPr>
      <w:r>
        <w:rPr>
          <w:rFonts w:ascii="Times New Roman" w:hAnsi="Times New Roman"/>
          <w:b w:val="1"/>
          <w:bCs w:val="1"/>
          <w:i w:val="1"/>
          <w:iCs w:val="1"/>
          <w:sz w:val="28"/>
          <w:szCs w:val="28"/>
          <w:rtl w:val="0"/>
          <w:lang w:val="nl-NL"/>
        </w:rPr>
        <w:t>Chapter 6</w:t>
      </w:r>
    </w:p>
    <w:p>
      <w:pPr>
        <w:pStyle w:val="Body"/>
        <w:pBdr>
          <w:top w:val="nil"/>
          <w:left w:val="nil"/>
          <w:bottom w:val="single" w:color="aaaaaa" w:sz="6" w:space="0" w:shadow="0" w:frame="0"/>
          <w:right w:val="nil"/>
        </w:pBdr>
        <w:spacing w:before="40" w:after="280"/>
        <w:jc w:val="right"/>
      </w:pPr>
      <w:r>
        <w:rPr>
          <w:rFonts w:ascii="Times New Roman" w:hAnsi="Times New Roman"/>
          <w:b w:val="1"/>
          <w:bCs w:val="1"/>
          <w:sz w:val="28"/>
          <w:szCs w:val="28"/>
          <w:rtl w:val="0"/>
          <w:lang w:val="en-US"/>
        </w:rPr>
        <w:t>SYSTEM IMPLEMENTATION</w:t>
      </w:r>
    </w:p>
    <w:p>
      <w:pPr>
        <w:pStyle w:val="Body"/>
        <w:spacing w:before="240" w:after="120"/>
      </w:pPr>
      <w:r>
        <w:rPr>
          <w:rFonts w:ascii="Times New Roman" w:hAnsi="Times New Roman"/>
          <w:b w:val="1"/>
          <w:bCs w:val="1"/>
          <w:sz w:val="24"/>
          <w:szCs w:val="24"/>
          <w:rtl w:val="0"/>
          <w:lang w:val="en-US"/>
        </w:rPr>
        <w:t>6.1 ML Pipeline Implementation</w:t>
      </w:r>
    </w:p>
    <w:p>
      <w:pPr>
        <w:pStyle w:val="Body"/>
        <w:spacing w:after="120" w:line="360" w:lineRule="auto"/>
        <w:jc w:val="both"/>
      </w:pPr>
      <w:r>
        <w:rPr>
          <w:rFonts w:ascii="Times New Roman" w:hAnsi="Times New Roman"/>
          <w:sz w:val="24"/>
          <w:szCs w:val="24"/>
          <w:rtl w:val="0"/>
          <w:lang w:val="en-US"/>
        </w:rPr>
        <w:t>The ML pipeline spans Layers 1</w:t>
      </w:r>
      <w:r>
        <w:rPr>
          <w:rFonts w:ascii="Times New Roman" w:hAnsi="Times New Roman" w:hint="default"/>
          <w:sz w:val="24"/>
          <w:szCs w:val="24"/>
          <w:rtl w:val="0"/>
          <w:lang w:val="en-US"/>
        </w:rPr>
        <w:t>–</w:t>
      </w:r>
      <w:r>
        <w:rPr>
          <w:rFonts w:ascii="Times New Roman" w:hAnsi="Times New Roman"/>
          <w:sz w:val="24"/>
          <w:szCs w:val="24"/>
          <w:rtl w:val="0"/>
          <w:lang w:val="en-US"/>
        </w:rPr>
        <w:t>3 of the system architecture and is implemented across backend/app.py and the data preprocessing scripts.</w:t>
      </w:r>
    </w:p>
    <w:p>
      <w:pPr>
        <w:pStyle w:val="Body"/>
        <w:spacing w:before="240" w:after="120"/>
      </w:pPr>
      <w:r>
        <w:rPr>
          <w:rFonts w:ascii="Times New Roman" w:hAnsi="Times New Roman"/>
          <w:b w:val="1"/>
          <w:bCs w:val="1"/>
          <w:sz w:val="24"/>
          <w:szCs w:val="24"/>
          <w:rtl w:val="0"/>
          <w:lang w:val="it-IT"/>
        </w:rPr>
        <w:t>6.1.1 Dataset</w:t>
      </w:r>
    </w:p>
    <w:p>
      <w:pPr>
        <w:pStyle w:val="Body"/>
        <w:spacing w:after="120" w:line="360" w:lineRule="auto"/>
        <w:jc w:val="both"/>
      </w:pPr>
      <w:r>
        <w:rPr>
          <w:rFonts w:ascii="Times New Roman" w:hAnsi="Times New Roman"/>
          <w:sz w:val="24"/>
          <w:szCs w:val="24"/>
          <w:rtl w:val="0"/>
          <w:lang w:val="en-US"/>
        </w:rPr>
        <w:t>The training dataset was sourced from ClinVar (version 2024), filtered to variants in the 27 epilepsy gene panel. After preprocessing, the dataset comprised approximately 15,000 labelled variant records with binary labels: Pathogenic/Likely Pathogenic mapped to class 1, and Benign/Likely Benign mapped to class 0. VUS records were excluded from training to avoid label noise. The dataset exhibits moderate class imbalance (~60% pathogenic), which is addressed through stratified k-fold cross-validation and the scale_pos_weight XGBoost parameter.</w:t>
      </w:r>
    </w:p>
    <w:p>
      <w:pPr>
        <w:pStyle w:val="Body"/>
        <w:jc w:val="center"/>
      </w:pPr>
      <w:r>
        <w:drawing xmlns:a="http://schemas.openxmlformats.org/drawingml/2006/main">
          <wp:inline distT="0" distB="0" distL="0" distR="0">
            <wp:extent cx="5303521" cy="4048810"/>
            <wp:effectExtent l="0" t="0" r="0" b="0"/>
            <wp:docPr id="1073741828" name="officeArt object" descr="Picture 4"/>
            <wp:cNvGraphicFramePr/>
            <a:graphic xmlns:a="http://schemas.openxmlformats.org/drawingml/2006/main">
              <a:graphicData uri="http://schemas.openxmlformats.org/drawingml/2006/picture">
                <pic:pic xmlns:pic="http://schemas.openxmlformats.org/drawingml/2006/picture">
                  <pic:nvPicPr>
                    <pic:cNvPr id="1073741828" name="Picture 4" descr="Picture 4"/>
                    <pic:cNvPicPr>
                      <a:picLocks noChangeAspect="1"/>
                    </pic:cNvPicPr>
                  </pic:nvPicPr>
                  <pic:blipFill>
                    <a:blip r:embed="rId11">
                      <a:extLst/>
                    </a:blip>
                    <a:stretch>
                      <a:fillRect/>
                    </a:stretch>
                  </pic:blipFill>
                  <pic:spPr>
                    <a:xfrm>
                      <a:off x="0" y="0"/>
                      <a:ext cx="5303521" cy="4048810"/>
                    </a:xfrm>
                    <a:prstGeom prst="rect">
                      <a:avLst/>
                    </a:prstGeom>
                    <a:ln w="12700" cap="flat">
                      <a:noFill/>
                      <a:miter lim="400000"/>
                    </a:ln>
                    <a:effectLst/>
                  </pic:spPr>
                </pic:pic>
              </a:graphicData>
            </a:graphic>
          </wp:inline>
        </w:drawing>
      </w:r>
    </w:p>
    <w:p>
      <w:pPr>
        <w:pStyle w:val="Body"/>
        <w:jc w:val="center"/>
        <w:rPr>
          <w:rFonts w:ascii="Times New Roman" w:cs="Times New Roman" w:hAnsi="Times New Roman" w:eastAsia="Times New Roman"/>
          <w:b w:val="1"/>
          <w:bCs w:val="1"/>
          <w:i w:val="1"/>
          <w:iCs w:val="1"/>
        </w:rPr>
      </w:pPr>
      <w:r>
        <w:rPr>
          <w:rFonts w:ascii="Times New Roman" w:hAnsi="Times New Roman"/>
          <w:b w:val="1"/>
          <w:bCs w:val="1"/>
          <w:i w:val="1"/>
          <w:iCs w:val="1"/>
          <w:rtl w:val="0"/>
          <w:lang w:val="en-US"/>
        </w:rPr>
        <w:t>Fig. 6.1: Class Distribution per Gene Before and After SMOTE Balancing</w:t>
      </w:r>
    </w:p>
    <w:p>
      <w:pPr>
        <w:pStyle w:val="Body"/>
        <w:jc w:val="center"/>
      </w:pPr>
    </w:p>
    <w:p>
      <w:pPr>
        <w:pStyle w:val="Body"/>
        <w:spacing w:before="240" w:after="120"/>
      </w:pPr>
      <w:r>
        <w:rPr>
          <w:rFonts w:ascii="Times New Roman" w:hAnsi="Times New Roman"/>
          <w:b w:val="1"/>
          <w:bCs w:val="1"/>
          <w:sz w:val="24"/>
          <w:szCs w:val="24"/>
          <w:rtl w:val="0"/>
          <w:lang w:val="en-US"/>
        </w:rPr>
        <w:t>6.1.2 Feature Engineering</w:t>
      </w:r>
    </w:p>
    <w:p>
      <w:pPr>
        <w:pStyle w:val="Body"/>
        <w:spacing w:after="120" w:line="360" w:lineRule="auto"/>
        <w:jc w:val="both"/>
      </w:pPr>
      <w:r>
        <w:rPr>
          <w:rFonts w:ascii="Times New Roman" w:hAnsi="Times New Roman"/>
          <w:sz w:val="24"/>
          <w:szCs w:val="24"/>
          <w:rtl w:val="0"/>
          <w:lang w:val="en-US"/>
        </w:rPr>
        <w:t>The feature engineering pipeline (Layer 2) transforms raw variant attributes into a 93-dimensional vector. The transformation is deterministic and implemented in the feature_engineer() function in backend/app.py. Key engineering decisions include:</w:t>
      </w:r>
    </w:p>
    <w:p>
      <w:pPr>
        <w:pStyle w:val="Body"/>
        <w:spacing w:after="80"/>
        <w:ind w:left="576" w:hanging="288"/>
      </w:pPr>
      <w:r>
        <w:rPr>
          <w:rFonts w:ascii="Times New Roman" w:hAnsi="Times New Roman" w:hint="default"/>
          <w:sz w:val="24"/>
          <w:szCs w:val="24"/>
          <w:rtl w:val="0"/>
          <w:lang w:val="en-US"/>
        </w:rPr>
        <w:t xml:space="preserve">•  </w:t>
      </w:r>
      <w:r>
        <w:rPr>
          <w:rFonts w:ascii="Times New Roman" w:hAnsi="Times New Roman"/>
          <w:sz w:val="24"/>
          <w:szCs w:val="24"/>
          <w:rtl w:val="0"/>
          <w:lang w:val="en-US"/>
        </w:rPr>
        <w:t>Gene encoding: 27 binary flags, one per gene in the panel (SCN1A, SCN2A, SCN3A, SCN8A, SCN9A, KCNQ2, KCNQ3, GABRA1, GABRG2, TSC1, TSC2, MECP2, CDKL5, FOXG1, PCDH19, SLC2A1, SLC6A1, STXBP1, DEPDC5, TBC1D24, LGI1, GRIN2A, CHD2, PRRT2, ALDH7A1, CACNA1A, ARX).</w:t>
      </w:r>
    </w:p>
    <w:p>
      <w:pPr>
        <w:pStyle w:val="Body"/>
        <w:spacing w:after="80"/>
        <w:ind w:left="576" w:hanging="288"/>
      </w:pPr>
      <w:r>
        <w:rPr>
          <w:rFonts w:ascii="Times New Roman" w:hAnsi="Times New Roman" w:hint="default"/>
          <w:sz w:val="24"/>
          <w:szCs w:val="24"/>
          <w:rtl w:val="0"/>
          <w:lang w:val="en-US"/>
        </w:rPr>
        <w:t xml:space="preserve">•  </w:t>
      </w:r>
      <w:r>
        <w:rPr>
          <w:rFonts w:ascii="Times New Roman" w:hAnsi="Times New Roman"/>
          <w:sz w:val="24"/>
          <w:szCs w:val="24"/>
          <w:rtl w:val="0"/>
          <w:lang w:val="en-US"/>
        </w:rPr>
        <w:t>Consequence severity: Binary flags for each consequence type plus a severe_consequence_count aggregating frameshift, nonsense, and splice variants.</w:t>
      </w:r>
    </w:p>
    <w:p>
      <w:pPr>
        <w:pStyle w:val="Body"/>
        <w:spacing w:after="80"/>
        <w:ind w:left="576" w:hanging="288"/>
      </w:pPr>
      <w:r>
        <w:rPr>
          <w:rFonts w:ascii="Times New Roman" w:hAnsi="Times New Roman" w:hint="default"/>
          <w:sz w:val="24"/>
          <w:szCs w:val="24"/>
          <w:rtl w:val="0"/>
          <w:lang w:val="en-US"/>
        </w:rPr>
        <w:t xml:space="preserve">•  </w:t>
      </w:r>
      <w:r>
        <w:rPr>
          <w:rFonts w:ascii="Times New Roman" w:hAnsi="Times New Roman"/>
          <w:sz w:val="24"/>
          <w:szCs w:val="24"/>
          <w:rtl w:val="0"/>
          <w:lang w:val="en-US"/>
        </w:rPr>
        <w:t>Review score: Ordinal encoding of review status (no criteria=0, single submitter=1, multiple submitters=2, expert panel=3, practice guideline=4).</w:t>
      </w:r>
    </w:p>
    <w:p>
      <w:pPr>
        <w:pStyle w:val="Body"/>
        <w:spacing w:after="80"/>
        <w:ind w:left="576" w:hanging="288"/>
      </w:pPr>
      <w:r>
        <w:rPr>
          <w:rFonts w:ascii="Times New Roman" w:hAnsi="Times New Roman" w:hint="default"/>
          <w:sz w:val="24"/>
          <w:szCs w:val="24"/>
          <w:rtl w:val="0"/>
          <w:lang w:val="en-US"/>
        </w:rPr>
        <w:t xml:space="preserve">•  </w:t>
      </w:r>
      <w:r>
        <w:rPr>
          <w:rFonts w:ascii="Times New Roman" w:hAnsi="Times New Roman"/>
          <w:sz w:val="24"/>
          <w:szCs w:val="24"/>
          <w:rtl w:val="0"/>
          <w:lang w:val="en-US"/>
        </w:rPr>
        <w:t>De novo encoding: Binary is_de_novo flag capturing both confirmed and assumed de novo origin.</w:t>
      </w:r>
    </w:p>
    <w:p>
      <w:pPr>
        <w:pStyle w:val="Body"/>
        <w:spacing w:after="80"/>
        <w:ind w:left="576" w:hanging="288"/>
      </w:pPr>
      <w:r>
        <w:rPr>
          <w:rFonts w:ascii="Times New Roman" w:hAnsi="Times New Roman" w:hint="default"/>
          <w:sz w:val="24"/>
          <w:szCs w:val="24"/>
          <w:rtl w:val="0"/>
          <w:lang w:val="en-US"/>
        </w:rPr>
        <w:t xml:space="preserve">•  </w:t>
      </w:r>
      <w:r>
        <w:rPr>
          <w:rFonts w:ascii="Times New Roman" w:hAnsi="Times New Roman"/>
          <w:sz w:val="24"/>
          <w:szCs w:val="24"/>
          <w:rtl w:val="0"/>
          <w:lang w:val="en-US"/>
        </w:rPr>
        <w:t>Gene category features: 9 binary flags encoding functional gene families (ion channels, GABA receptors, TSC complex, mTOR pathway, synaptic, etc.) derived from the GENE_MECHANISM map.</w:t>
      </w:r>
    </w:p>
    <w:p>
      <w:pPr>
        <w:pStyle w:val="Body"/>
        <w:jc w:val="center"/>
      </w:pPr>
      <w:r>
        <w:drawing xmlns:a="http://schemas.openxmlformats.org/drawingml/2006/main">
          <wp:inline distT="0" distB="0" distL="0" distR="0">
            <wp:extent cx="5303520" cy="4412172"/>
            <wp:effectExtent l="0" t="0" r="0" b="0"/>
            <wp:docPr id="1073741829" name="officeArt object" descr="Picture 5"/>
            <wp:cNvGraphicFramePr/>
            <a:graphic xmlns:a="http://schemas.openxmlformats.org/drawingml/2006/main">
              <a:graphicData uri="http://schemas.openxmlformats.org/drawingml/2006/picture">
                <pic:pic xmlns:pic="http://schemas.openxmlformats.org/drawingml/2006/picture">
                  <pic:nvPicPr>
                    <pic:cNvPr id="1073741829" name="Picture 5" descr="Picture 5"/>
                    <pic:cNvPicPr>
                      <a:picLocks noChangeAspect="1"/>
                    </pic:cNvPicPr>
                  </pic:nvPicPr>
                  <pic:blipFill>
                    <a:blip r:embed="rId12">
                      <a:extLst/>
                    </a:blip>
                    <a:stretch>
                      <a:fillRect/>
                    </a:stretch>
                  </pic:blipFill>
                  <pic:spPr>
                    <a:xfrm>
                      <a:off x="0" y="0"/>
                      <a:ext cx="5303520" cy="4412172"/>
                    </a:xfrm>
                    <a:prstGeom prst="rect">
                      <a:avLst/>
                    </a:prstGeom>
                    <a:ln w="12700" cap="flat">
                      <a:noFill/>
                      <a:miter lim="400000"/>
                    </a:ln>
                    <a:effectLst/>
                  </pic:spPr>
                </pic:pic>
              </a:graphicData>
            </a:graphic>
          </wp:inline>
        </w:drawing>
      </w:r>
    </w:p>
    <w:p>
      <w:pPr>
        <w:pStyle w:val="Body"/>
        <w:jc w:val="center"/>
      </w:pPr>
      <w:r>
        <w:rPr>
          <w:rFonts w:ascii="Times New Roman" w:hAnsi="Times New Roman"/>
          <w:b w:val="1"/>
          <w:bCs w:val="1"/>
          <w:i w:val="1"/>
          <w:iCs w:val="1"/>
          <w:rtl w:val="0"/>
          <w:lang w:val="en-US"/>
        </w:rPr>
        <w:t xml:space="preserve">Fig. 6.2: Feature Engineering Pipeline </w:t>
      </w:r>
      <w:r>
        <w:rPr>
          <w:rFonts w:ascii="Times New Roman" w:hAnsi="Times New Roman" w:hint="default"/>
          <w:b w:val="1"/>
          <w:bCs w:val="1"/>
          <w:i w:val="1"/>
          <w:iCs w:val="1"/>
          <w:rtl w:val="0"/>
          <w:lang w:val="en-US"/>
        </w:rPr>
        <w:t xml:space="preserve">— </w:t>
      </w:r>
      <w:r>
        <w:rPr>
          <w:rFonts w:ascii="Times New Roman" w:hAnsi="Times New Roman"/>
          <w:b w:val="1"/>
          <w:bCs w:val="1"/>
          <w:i w:val="1"/>
          <w:iCs w:val="1"/>
          <w:rtl w:val="0"/>
          <w:lang w:val="en-US"/>
        </w:rPr>
        <w:t>Raw Input to 93-Dimensional Feature Vector</w:t>
      </w:r>
    </w:p>
    <w:p>
      <w:pPr>
        <w:pStyle w:val="Body"/>
        <w:spacing w:before="240" w:after="120"/>
      </w:pPr>
      <w:r>
        <w:rPr>
          <w:rFonts w:ascii="Times New Roman" w:hAnsi="Times New Roman"/>
          <w:b w:val="1"/>
          <w:bCs w:val="1"/>
          <w:sz w:val="24"/>
          <w:szCs w:val="24"/>
          <w:rtl w:val="0"/>
          <w:lang w:val="en-US"/>
        </w:rPr>
        <w:t>6.1.3 Model Selection</w:t>
      </w:r>
    </w:p>
    <w:p>
      <w:pPr>
        <w:pStyle w:val="Body"/>
        <w:spacing w:after="120" w:line="360" w:lineRule="auto"/>
        <w:jc w:val="both"/>
      </w:pPr>
      <w:r>
        <w:rPr>
          <w:rFonts w:ascii="Times New Roman" w:hAnsi="Times New Roman"/>
          <w:sz w:val="24"/>
          <w:szCs w:val="24"/>
          <w:rtl w:val="0"/>
          <w:lang w:val="en-US"/>
        </w:rPr>
        <w:t>Six architectures were evaluated on a held-out test fold. Table 6.1 presents the comparative results.</w:t>
      </w:r>
    </w:p>
    <w:p>
      <w:pPr>
        <w:pStyle w:val="Body"/>
        <w:jc w:val="center"/>
      </w:pPr>
      <w:r>
        <w:rPr>
          <w:rFonts w:ascii="Times New Roman" w:hAnsi="Times New Roman"/>
          <w:b w:val="1"/>
          <w:bCs w:val="1"/>
          <w:sz w:val="24"/>
          <w:szCs w:val="24"/>
          <w:rtl w:val="0"/>
          <w:lang w:val="it-IT"/>
        </w:rPr>
        <w:t xml:space="preserve">Table 6.1: Model Comparison </w:t>
      </w:r>
      <w:r>
        <w:rPr>
          <w:rFonts w:ascii="Times New Roman" w:hAnsi="Times New Roman" w:hint="default"/>
          <w:b w:val="1"/>
          <w:bCs w:val="1"/>
          <w:sz w:val="24"/>
          <w:szCs w:val="24"/>
          <w:rtl w:val="0"/>
          <w:lang w:val="en-US"/>
        </w:rPr>
        <w:t xml:space="preserve">— </w:t>
      </w:r>
      <w:r>
        <w:rPr>
          <w:rFonts w:ascii="Times New Roman" w:hAnsi="Times New Roman"/>
          <w:b w:val="1"/>
          <w:bCs w:val="1"/>
          <w:sz w:val="24"/>
          <w:szCs w:val="24"/>
          <w:rtl w:val="0"/>
          <w:lang w:val="en-US"/>
        </w:rPr>
        <w:t>Accuracy, AUC, F1</w:t>
      </w:r>
    </w:p>
    <w:tbl>
      <w:tblPr>
        <w:tblW w:w="8788"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97"/>
        <w:gridCol w:w="2197"/>
        <w:gridCol w:w="2197"/>
        <w:gridCol w:w="2197"/>
      </w:tblGrid>
      <w:tr>
        <w:tblPrEx>
          <w:shd w:val="clear" w:color="auto" w:fill="ced7e7"/>
        </w:tblPrEx>
        <w:trPr>
          <w:trHeight w:val="241" w:hRule="atLeast"/>
        </w:trPr>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b w:val="1"/>
                <w:bCs w:val="1"/>
                <w:shd w:val="nil" w:color="auto" w:fill="auto"/>
                <w:rtl w:val="0"/>
                <w:lang w:val="en-US"/>
              </w:rPr>
              <w:t>Model</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b w:val="1"/>
                <w:bCs w:val="1"/>
                <w:shd w:val="nil" w:color="auto" w:fill="auto"/>
                <w:rtl w:val="0"/>
                <w:lang w:val="en-US"/>
              </w:rPr>
              <w:t>Accuracy (%)</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b w:val="1"/>
                <w:bCs w:val="1"/>
                <w:shd w:val="nil" w:color="auto" w:fill="auto"/>
                <w:rtl w:val="0"/>
                <w:lang w:val="en-US"/>
              </w:rPr>
              <w:t>AUC</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b w:val="1"/>
                <w:bCs w:val="1"/>
                <w:shd w:val="nil" w:color="auto" w:fill="auto"/>
                <w:rtl w:val="0"/>
                <w:lang w:val="en-US"/>
              </w:rPr>
              <w:t>F1 Score</w:t>
            </w:r>
          </w:p>
        </w:tc>
      </w:tr>
      <w:tr>
        <w:tblPrEx>
          <w:shd w:val="clear" w:color="auto" w:fill="ced7e7"/>
        </w:tblPrEx>
        <w:trPr>
          <w:trHeight w:val="241" w:hRule="atLeast"/>
        </w:trPr>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Logistic Regression</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36.63</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0.5600</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0.5362</w:t>
            </w:r>
          </w:p>
        </w:tc>
      </w:tr>
      <w:tr>
        <w:tblPrEx>
          <w:shd w:val="clear" w:color="auto" w:fill="ced7e7"/>
        </w:tblPrEx>
        <w:trPr>
          <w:trHeight w:val="241" w:hRule="atLeast"/>
        </w:trPr>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Random Forest</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87.56</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0.9361</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0.8231</w:t>
            </w:r>
          </w:p>
        </w:tc>
      </w:tr>
      <w:tr>
        <w:tblPrEx>
          <w:shd w:val="clear" w:color="auto" w:fill="ced7e7"/>
        </w:tblPrEx>
        <w:trPr>
          <w:trHeight w:val="241" w:hRule="atLeast"/>
        </w:trPr>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Gradient Boosting</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89.64</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0.9503</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0.8465</w:t>
            </w:r>
          </w:p>
        </w:tc>
      </w:tr>
      <w:tr>
        <w:tblPrEx>
          <w:shd w:val="clear" w:color="auto" w:fill="ced7e7"/>
        </w:tblPrEx>
        <w:trPr>
          <w:trHeight w:val="481" w:hRule="atLeast"/>
        </w:trPr>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XGBoost (uncalibrated)</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88.90</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0.9468</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0.8464</w:t>
            </w:r>
          </w:p>
        </w:tc>
      </w:tr>
      <w:tr>
        <w:tblPrEx>
          <w:shd w:val="clear" w:color="auto" w:fill="ced7e7"/>
        </w:tblPrEx>
        <w:trPr>
          <w:trHeight w:val="481" w:hRule="atLeast"/>
        </w:trPr>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Simple Neural Network</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87.29</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0.9346</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0.8304</w:t>
            </w:r>
          </w:p>
        </w:tc>
      </w:tr>
      <w:tr>
        <w:tblPrEx>
          <w:shd w:val="clear" w:color="auto" w:fill="ced7e7"/>
        </w:tblPrEx>
        <w:trPr>
          <w:trHeight w:val="481" w:hRule="atLeast"/>
        </w:trPr>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Residual Neural Network</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87.92</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0.9377</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0.8377</w:t>
            </w:r>
          </w:p>
        </w:tc>
      </w:tr>
      <w:tr>
        <w:tblPrEx>
          <w:shd w:val="clear" w:color="auto" w:fill="ced7e7"/>
        </w:tblPrEx>
        <w:trPr>
          <w:trHeight w:val="481" w:hRule="atLeast"/>
        </w:trPr>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b w:val="1"/>
                <w:bCs w:val="1"/>
                <w:shd w:val="nil" w:color="auto" w:fill="auto"/>
                <w:rtl w:val="0"/>
                <w:lang w:val="en-US"/>
              </w:rPr>
              <w:t>XGBoost + Isotonic (Ours)</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b w:val="1"/>
                <w:bCs w:val="1"/>
                <w:shd w:val="nil" w:color="auto" w:fill="auto"/>
                <w:rtl w:val="0"/>
                <w:lang w:val="en-US"/>
              </w:rPr>
              <w:t>89.89</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b w:val="1"/>
                <w:bCs w:val="1"/>
                <w:shd w:val="nil" w:color="auto" w:fill="auto"/>
                <w:rtl w:val="0"/>
                <w:lang w:val="en-US"/>
              </w:rPr>
              <w:t>0.9446</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b w:val="1"/>
                <w:bCs w:val="1"/>
                <w:shd w:val="nil" w:color="auto" w:fill="auto"/>
                <w:rtl w:val="0"/>
                <w:lang w:val="en-US"/>
              </w:rPr>
              <w:t>0.8538</w:t>
            </w:r>
          </w:p>
        </w:tc>
      </w:tr>
    </w:tbl>
    <w:p>
      <w:pPr>
        <w:pStyle w:val="Body"/>
        <w:widowControl w:val="0"/>
        <w:spacing w:line="240" w:lineRule="auto"/>
        <w:jc w:val="center"/>
      </w:pPr>
    </w:p>
    <w:p>
      <w:pPr>
        <w:pStyle w:val="Body"/>
        <w:spacing w:after="120" w:line="360" w:lineRule="auto"/>
        <w:jc w:val="both"/>
      </w:pPr>
      <w:r>
        <w:rPr>
          <w:rFonts w:ascii="Times New Roman" w:hAnsi="Times New Roman"/>
          <w:sz w:val="24"/>
          <w:szCs w:val="24"/>
          <w:rtl w:val="0"/>
          <w:lang w:val="en-US"/>
        </w:rPr>
        <w:t>Logistic Regression produced degenerate classifier behaviour (accuracy 36.63%) on the tabular epilepsy feature space, consistent with the non-linear separability of variant features. Neural network architectures (SimpleNN, ResidualNN) achieved competitive but marginally lower performance than tree-based ensemble methods, consistent with the literature finding that gradient-boosted trees outperform deep learning on structured tabular data of this scale. XGBoost with isotonic calibration achieved the best balance of accuracy (89.89%), well-calibrated probabilities (Brier score 0.0761 vs. 0.0875 for sigmoid calibration), and interpretability (SHAP-compatible tree structure).</w:t>
      </w:r>
    </w:p>
    <w:p>
      <w:pPr>
        <w:pStyle w:val="Body"/>
        <w:jc w:val="center"/>
      </w:pPr>
      <w:r>
        <w:drawing xmlns:a="http://schemas.openxmlformats.org/drawingml/2006/main">
          <wp:inline distT="0" distB="0" distL="0" distR="0">
            <wp:extent cx="5303521" cy="4271777"/>
            <wp:effectExtent l="0" t="0" r="0" b="0"/>
            <wp:docPr id="1073741830" name="officeArt object" descr="Picture 6"/>
            <wp:cNvGraphicFramePr/>
            <a:graphic xmlns:a="http://schemas.openxmlformats.org/drawingml/2006/main">
              <a:graphicData uri="http://schemas.openxmlformats.org/drawingml/2006/picture">
                <pic:pic xmlns:pic="http://schemas.openxmlformats.org/drawingml/2006/picture">
                  <pic:nvPicPr>
                    <pic:cNvPr id="1073741830" name="Picture 6" descr="Picture 6"/>
                    <pic:cNvPicPr>
                      <a:picLocks noChangeAspect="1"/>
                    </pic:cNvPicPr>
                  </pic:nvPicPr>
                  <pic:blipFill>
                    <a:blip r:embed="rId13">
                      <a:extLst/>
                    </a:blip>
                    <a:stretch>
                      <a:fillRect/>
                    </a:stretch>
                  </pic:blipFill>
                  <pic:spPr>
                    <a:xfrm>
                      <a:off x="0" y="0"/>
                      <a:ext cx="5303521" cy="4271777"/>
                    </a:xfrm>
                    <a:prstGeom prst="rect">
                      <a:avLst/>
                    </a:prstGeom>
                    <a:ln w="12700" cap="flat">
                      <a:noFill/>
                      <a:miter lim="400000"/>
                    </a:ln>
                    <a:effectLst/>
                  </pic:spPr>
                </pic:pic>
              </a:graphicData>
            </a:graphic>
          </wp:inline>
        </w:drawing>
      </w:r>
    </w:p>
    <w:p>
      <w:pPr>
        <w:pStyle w:val="Body"/>
        <w:jc w:val="center"/>
      </w:pPr>
      <w:r>
        <w:rPr>
          <w:rFonts w:ascii="Times New Roman" w:hAnsi="Times New Roman"/>
          <w:b w:val="1"/>
          <w:bCs w:val="1"/>
          <w:i w:val="1"/>
          <w:iCs w:val="1"/>
          <w:rtl w:val="0"/>
          <w:lang w:val="en-US"/>
        </w:rPr>
        <w:t xml:space="preserve">Fig. 6.3: Model Training Workflow </w:t>
      </w:r>
      <w:r>
        <w:rPr>
          <w:rFonts w:ascii="Times New Roman" w:hAnsi="Times New Roman" w:hint="default"/>
          <w:b w:val="1"/>
          <w:bCs w:val="1"/>
          <w:i w:val="1"/>
          <w:iCs w:val="1"/>
          <w:rtl w:val="0"/>
          <w:lang w:val="en-US"/>
        </w:rPr>
        <w:t xml:space="preserve">— </w:t>
      </w:r>
      <w:r>
        <w:rPr>
          <w:rFonts w:ascii="Times New Roman" w:hAnsi="Times New Roman"/>
          <w:b w:val="1"/>
          <w:bCs w:val="1"/>
          <w:i w:val="1"/>
          <w:iCs w:val="1"/>
          <w:rtl w:val="0"/>
          <w:lang w:val="en-US"/>
        </w:rPr>
        <w:t>SMOTE+Tomek Resampling, XGBoost Fitting, Isotonic Calibration and Val/Test Scoring</w:t>
      </w:r>
    </w:p>
    <w:p>
      <w:pPr>
        <w:pStyle w:val="Body"/>
        <w:spacing w:before="240" w:after="120"/>
      </w:pPr>
      <w:r>
        <w:rPr>
          <w:rFonts w:ascii="Times New Roman" w:hAnsi="Times New Roman"/>
          <w:b w:val="1"/>
          <w:bCs w:val="1"/>
          <w:sz w:val="24"/>
          <w:szCs w:val="24"/>
          <w:rtl w:val="0"/>
          <w:lang w:val="it-IT"/>
        </w:rPr>
        <w:t>6.1.4 Calibration</w:t>
      </w:r>
    </w:p>
    <w:p>
      <w:pPr>
        <w:pStyle w:val="Body"/>
        <w:spacing w:after="120" w:line="360" w:lineRule="auto"/>
        <w:jc w:val="both"/>
      </w:pPr>
      <w:r>
        <w:rPr>
          <w:rFonts w:ascii="Times New Roman" w:hAnsi="Times New Roman"/>
          <w:sz w:val="24"/>
          <w:szCs w:val="24"/>
          <w:rtl w:val="0"/>
          <w:lang w:val="en-US"/>
        </w:rPr>
        <w:t xml:space="preserve">Isotonic calibration was applied using scikit-learn's CalibratedClassifierCV with cv=5. The calibration significantly improved probability reliability: the Brier score improved from 0.0875 (uncalibrated) to 0.0761 (isotonic). The high-confidence ratio (variants with predicted probability &gt; 90% or &lt; 10%) is 65.09% of the test set, with accuracy of 96.38% within that high-confidence stratum </w:t>
      </w:r>
      <w:r>
        <w:rPr>
          <w:rFonts w:ascii="Times New Roman" w:hAnsi="Times New Roman" w:hint="default"/>
          <w:sz w:val="24"/>
          <w:szCs w:val="24"/>
          <w:rtl w:val="0"/>
          <w:lang w:val="en-US"/>
        </w:rPr>
        <w:t xml:space="preserve">— </w:t>
      </w:r>
      <w:r>
        <w:rPr>
          <w:rFonts w:ascii="Times New Roman" w:hAnsi="Times New Roman"/>
          <w:sz w:val="24"/>
          <w:szCs w:val="24"/>
          <w:rtl w:val="0"/>
          <w:lang w:val="en-US"/>
        </w:rPr>
        <w:t>confirming that the model's confident predictions are highly reliable.</w:t>
      </w:r>
    </w:p>
    <w:p>
      <w:pPr>
        <w:pStyle w:val="Body"/>
        <w:jc w:val="center"/>
      </w:pPr>
      <w:r>
        <w:drawing xmlns:a="http://schemas.openxmlformats.org/drawingml/2006/main">
          <wp:inline distT="0" distB="0" distL="0" distR="0">
            <wp:extent cx="5303520" cy="3776629"/>
            <wp:effectExtent l="0" t="0" r="0" b="0"/>
            <wp:docPr id="1073741831" name="officeArt object" descr="Picture 7"/>
            <wp:cNvGraphicFramePr/>
            <a:graphic xmlns:a="http://schemas.openxmlformats.org/drawingml/2006/main">
              <a:graphicData uri="http://schemas.openxmlformats.org/drawingml/2006/picture">
                <pic:pic xmlns:pic="http://schemas.openxmlformats.org/drawingml/2006/picture">
                  <pic:nvPicPr>
                    <pic:cNvPr id="1073741831" name="Picture 7" descr="Picture 7"/>
                    <pic:cNvPicPr>
                      <a:picLocks noChangeAspect="1"/>
                    </pic:cNvPicPr>
                  </pic:nvPicPr>
                  <pic:blipFill>
                    <a:blip r:embed="rId14">
                      <a:extLst/>
                    </a:blip>
                    <a:stretch>
                      <a:fillRect/>
                    </a:stretch>
                  </pic:blipFill>
                  <pic:spPr>
                    <a:xfrm>
                      <a:off x="0" y="0"/>
                      <a:ext cx="5303520" cy="3776629"/>
                    </a:xfrm>
                    <a:prstGeom prst="rect">
                      <a:avLst/>
                    </a:prstGeom>
                    <a:ln w="12700" cap="flat">
                      <a:noFill/>
                      <a:miter lim="400000"/>
                    </a:ln>
                    <a:effectLst/>
                  </pic:spPr>
                </pic:pic>
              </a:graphicData>
            </a:graphic>
          </wp:inline>
        </w:drawing>
      </w:r>
    </w:p>
    <w:p>
      <w:pPr>
        <w:pStyle w:val="Body"/>
        <w:jc w:val="center"/>
      </w:pPr>
      <w:r>
        <w:rPr>
          <w:rFonts w:ascii="Times New Roman" w:hAnsi="Times New Roman"/>
          <w:b w:val="1"/>
          <w:bCs w:val="1"/>
          <w:i w:val="1"/>
          <w:iCs w:val="1"/>
          <w:rtl w:val="0"/>
          <w:lang w:val="en-US"/>
        </w:rPr>
        <w:t>Fig. 6.4: ROC Curve (AUC = 0.9446) and Confusion Matrix on Held-Out Test Set</w:t>
      </w:r>
    </w:p>
    <w:p>
      <w:pPr>
        <w:pStyle w:val="Body"/>
        <w:jc w:val="center"/>
      </w:pPr>
      <w:r>
        <w:drawing xmlns:a="http://schemas.openxmlformats.org/drawingml/2006/main">
          <wp:inline distT="0" distB="0" distL="0" distR="0">
            <wp:extent cx="5303521" cy="3960292"/>
            <wp:effectExtent l="0" t="0" r="0" b="0"/>
            <wp:docPr id="1073741832" name="officeArt object" descr="Picture 8"/>
            <wp:cNvGraphicFramePr/>
            <a:graphic xmlns:a="http://schemas.openxmlformats.org/drawingml/2006/main">
              <a:graphicData uri="http://schemas.openxmlformats.org/drawingml/2006/picture">
                <pic:pic xmlns:pic="http://schemas.openxmlformats.org/drawingml/2006/picture">
                  <pic:nvPicPr>
                    <pic:cNvPr id="1073741832" name="Picture 8" descr="Picture 8"/>
                    <pic:cNvPicPr>
                      <a:picLocks noChangeAspect="1"/>
                    </pic:cNvPicPr>
                  </pic:nvPicPr>
                  <pic:blipFill>
                    <a:blip r:embed="rId15">
                      <a:extLst/>
                    </a:blip>
                    <a:stretch>
                      <a:fillRect/>
                    </a:stretch>
                  </pic:blipFill>
                  <pic:spPr>
                    <a:xfrm>
                      <a:off x="0" y="0"/>
                      <a:ext cx="5303521" cy="3960292"/>
                    </a:xfrm>
                    <a:prstGeom prst="rect">
                      <a:avLst/>
                    </a:prstGeom>
                    <a:ln w="12700" cap="flat">
                      <a:noFill/>
                      <a:miter lim="400000"/>
                    </a:ln>
                    <a:effectLst/>
                  </pic:spPr>
                </pic:pic>
              </a:graphicData>
            </a:graphic>
          </wp:inline>
        </w:drawing>
      </w:r>
    </w:p>
    <w:p>
      <w:pPr>
        <w:pStyle w:val="Body"/>
        <w:jc w:val="center"/>
      </w:pPr>
      <w:r>
        <w:rPr>
          <w:rFonts w:ascii="Times New Roman" w:hAnsi="Times New Roman"/>
          <w:b w:val="1"/>
          <w:bCs w:val="1"/>
          <w:i w:val="1"/>
          <w:iCs w:val="1"/>
          <w:rtl w:val="0"/>
          <w:lang w:val="en-US"/>
        </w:rPr>
        <w:t xml:space="preserve">Fig. 6.5: SHAP Feature Importance </w:t>
      </w:r>
      <w:r>
        <w:rPr>
          <w:rFonts w:ascii="Times New Roman" w:hAnsi="Times New Roman" w:hint="default"/>
          <w:b w:val="1"/>
          <w:bCs w:val="1"/>
          <w:i w:val="1"/>
          <w:iCs w:val="1"/>
          <w:rtl w:val="0"/>
          <w:lang w:val="en-US"/>
        </w:rPr>
        <w:t xml:space="preserve">— </w:t>
      </w:r>
      <w:r>
        <w:rPr>
          <w:rFonts w:ascii="Times New Roman" w:hAnsi="Times New Roman"/>
          <w:b w:val="1"/>
          <w:bCs w:val="1"/>
          <w:i w:val="1"/>
          <w:iCs w:val="1"/>
          <w:rtl w:val="0"/>
          <w:lang w:val="en-US"/>
        </w:rPr>
        <w:t>Top Predictive Features for Pathogenicity</w:t>
      </w:r>
    </w:p>
    <w:p>
      <w:pPr>
        <w:pStyle w:val="Body"/>
        <w:spacing w:before="240" w:after="120"/>
      </w:pPr>
      <w:r>
        <w:rPr>
          <w:rFonts w:ascii="Times New Roman" w:hAnsi="Times New Roman"/>
          <w:b w:val="1"/>
          <w:bCs w:val="1"/>
          <w:sz w:val="24"/>
          <w:szCs w:val="24"/>
          <w:rtl w:val="0"/>
          <w:lang w:val="en-US"/>
        </w:rPr>
        <w:t>6.2 ACMG Engine Implementation</w:t>
      </w:r>
    </w:p>
    <w:p>
      <w:pPr>
        <w:pStyle w:val="Body"/>
        <w:spacing w:after="120" w:line="360" w:lineRule="auto"/>
        <w:jc w:val="both"/>
      </w:pPr>
      <w:r>
        <w:rPr>
          <w:rFonts w:ascii="Times New Roman" w:hAnsi="Times New Roman"/>
          <w:sz w:val="24"/>
          <w:szCs w:val="24"/>
          <w:rtl w:val="0"/>
          <w:lang w:val="en-US"/>
        </w:rPr>
        <w:t>The ACMG engine is implemented in backend/acmg_classifier.py as the ACMGClassifier class. The classify() method receives gene, consequence, origin, gnomad_data, clinvar_data, shap_data, variant_type, reference_allele, and alternate_allele, and returns a comprehensive classification dictionary.</w:t>
      </w:r>
    </w:p>
    <w:p>
      <w:pPr>
        <w:pStyle w:val="Body"/>
        <w:spacing w:before="240" w:after="120"/>
      </w:pPr>
      <w:r>
        <w:rPr>
          <w:rFonts w:ascii="Times New Roman" w:hAnsi="Times New Roman"/>
          <w:b w:val="1"/>
          <w:bCs w:val="1"/>
          <w:sz w:val="24"/>
          <w:szCs w:val="24"/>
          <w:rtl w:val="0"/>
          <w:lang w:val="de-DE"/>
        </w:rPr>
        <w:t>6.2.1 Gene Mechanism Map</w:t>
      </w:r>
    </w:p>
    <w:p>
      <w:pPr>
        <w:pStyle w:val="Body"/>
        <w:spacing w:after="120" w:line="360" w:lineRule="auto"/>
        <w:jc w:val="both"/>
      </w:pPr>
      <w:r>
        <w:rPr>
          <w:rFonts w:ascii="Times New Roman" w:hAnsi="Times New Roman"/>
          <w:sz w:val="24"/>
          <w:szCs w:val="24"/>
          <w:rtl w:val="0"/>
          <w:lang w:val="en-US"/>
        </w:rPr>
        <w:t xml:space="preserve">The GENE_MECHANISM dictionary encodes the primary disease mechanism for each of the 26 panel genes, distinguishing loss-of-function (LOF) from gain-of-function (GOF) genes. This distinction is critical for PVS1: truncating variants (frameshift, nonsense, splice) in LOF genes receive PVS1 (Very Strong, +8 points), but the same variant types in GOF genes (SCN2A, SCN8A, SCN9A) do NOT receive PVS1 </w:t>
      </w:r>
      <w:r>
        <w:rPr>
          <w:rFonts w:ascii="Times New Roman" w:hAnsi="Times New Roman" w:hint="default"/>
          <w:sz w:val="24"/>
          <w:szCs w:val="24"/>
          <w:rtl w:val="0"/>
          <w:lang w:val="en-US"/>
        </w:rPr>
        <w:t xml:space="preserve">— </w:t>
      </w:r>
      <w:r>
        <w:rPr>
          <w:rFonts w:ascii="Times New Roman" w:hAnsi="Times New Roman"/>
          <w:sz w:val="24"/>
          <w:szCs w:val="24"/>
          <w:rtl w:val="0"/>
          <w:lang w:val="en-US"/>
        </w:rPr>
        <w:t>because in GOF genes, loss-of-function may actually reduce the pathological gain.</w:t>
      </w:r>
    </w:p>
    <w:p>
      <w:pPr>
        <w:pStyle w:val="Body"/>
        <w:spacing w:after="120" w:line="360" w:lineRule="auto"/>
        <w:jc w:val="both"/>
      </w:pPr>
      <w:r>
        <w:rPr>
          <w:rFonts w:ascii="Times New Roman" w:hAnsi="Times New Roman"/>
          <w:sz w:val="24"/>
          <w:szCs w:val="24"/>
          <w:rtl w:val="0"/>
          <w:lang w:val="en-US"/>
        </w:rPr>
        <w:t>Table 6.2 shows the gene mechanism map for the full 26-gene epilepsy panel.</w:t>
      </w:r>
    </w:p>
    <w:p>
      <w:pPr>
        <w:pStyle w:val="Body"/>
        <w:jc w:val="center"/>
      </w:pPr>
      <w:r>
        <w:rPr>
          <w:rFonts w:ascii="Times New Roman" w:hAnsi="Times New Roman"/>
          <w:b w:val="1"/>
          <w:bCs w:val="1"/>
          <w:sz w:val="24"/>
          <w:szCs w:val="24"/>
          <w:rtl w:val="0"/>
        </w:rPr>
        <w:t>Table 6.2: Epilepsy Gene Panel — Disease Mechanism</w:t>
      </w:r>
      <w:r>
        <w:rPr>
          <w:rFonts w:ascii="Times New Roman" w:hAnsi="Times New Roman" w:hint="default"/>
          <w:b w:val="1"/>
          <w:bCs w:val="1"/>
          <w:sz w:val="24"/>
          <w:szCs w:val="24"/>
          <w:rtl w:val="0"/>
          <w:lang w:val="en-US"/>
        </w:rPr>
      </w:r>
      <w:r>
        <w:rPr>
          <w:rFonts w:ascii="Times New Roman" w:hAnsi="Times New Roman"/>
          <w:b w:val="1"/>
          <w:bCs w:val="1"/>
          <w:sz w:val="24"/>
          <w:szCs w:val="24"/>
          <w:rtl w:val="0"/>
          <w:lang w:val="en-US"/>
        </w:rPr>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927"/>
        <w:gridCol w:w="2927"/>
        <w:gridCol w:w="2927"/>
      </w:tblGrid>
      <w:tr>
        <w:tc>
          <w:tcPr>
            <w:tcW w:type="dxa" w:w="2927"/>
            <w:shd w:val="clear" w:color="auto" w:fill="4472C4"/>
          </w:tcPr>
          <w:p>
            <w:r/>
            <w:r>
              <w:rPr>
                <w:b/>
                <w:color w:val="FFFFFF"/>
                <w:sz w:val="20"/>
              </w:rPr>
              <w:t>Gene</w:t>
            </w:r>
          </w:p>
        </w:tc>
        <w:tc>
          <w:tcPr>
            <w:tcW w:type="dxa" w:w="2927"/>
            <w:shd w:val="clear" w:color="auto" w:fill="4472C4"/>
          </w:tcPr>
          <w:p>
            <w:r/>
            <w:r>
              <w:rPr>
                <w:b/>
                <w:color w:val="FFFFFF"/>
                <w:sz w:val="20"/>
              </w:rPr>
              <w:t>Mechanism</w:t>
            </w:r>
          </w:p>
        </w:tc>
        <w:tc>
          <w:tcPr>
            <w:tcW w:type="dxa" w:w="2927"/>
            <w:shd w:val="clear" w:color="auto" w:fill="4472C4"/>
          </w:tcPr>
          <w:p>
            <w:r/>
            <w:r>
              <w:rPr>
                <w:b/>
                <w:color w:val="FFFFFF"/>
                <w:sz w:val="20"/>
              </w:rPr>
              <w:t>Associated Syndrome</w:t>
            </w:r>
          </w:p>
        </w:tc>
      </w:tr>
      <w:tr>
        <w:tc>
          <w:tcPr>
            <w:tcW w:type="dxa" w:w="2927"/>
          </w:tcPr>
          <w:p>
            <w:r/>
            <w:r>
              <w:rPr>
                <w:b/>
                <w:sz w:val="18"/>
              </w:rPr>
              <w:t>SCN1A</w:t>
            </w:r>
          </w:p>
        </w:tc>
        <w:tc>
          <w:tcPr>
            <w:tcW w:type="dxa" w:w="2927"/>
          </w:tcPr>
          <w:p>
            <w:r/>
            <w:r>
              <w:rPr>
                <w:b w:val="0"/>
                <w:sz w:val="18"/>
              </w:rPr>
              <w:t>LOF</w:t>
            </w:r>
          </w:p>
        </w:tc>
        <w:tc>
          <w:tcPr>
            <w:tcW w:type="dxa" w:w="2927"/>
          </w:tcPr>
          <w:p>
            <w:r/>
            <w:r>
              <w:rPr>
                <w:b w:val="0"/>
                <w:sz w:val="18"/>
              </w:rPr>
              <w:t>Dravet syndrome — haploinsufficiency</w:t>
            </w:r>
          </w:p>
        </w:tc>
      </w:tr>
      <w:tr>
        <w:tc>
          <w:tcPr>
            <w:tcW w:type="dxa" w:w="2927"/>
          </w:tcPr>
          <w:p>
            <w:r/>
            <w:r>
              <w:rPr>
                <w:b/>
                <w:sz w:val="18"/>
              </w:rPr>
              <w:t>SCN2A</w:t>
            </w:r>
          </w:p>
        </w:tc>
        <w:tc>
          <w:tcPr>
            <w:tcW w:type="dxa" w:w="2927"/>
          </w:tcPr>
          <w:p>
            <w:r/>
            <w:r>
              <w:rPr>
                <w:b w:val="0"/>
                <w:sz w:val="18"/>
              </w:rPr>
              <w:t>GOF</w:t>
            </w:r>
          </w:p>
        </w:tc>
        <w:tc>
          <w:tcPr>
            <w:tcW w:type="dxa" w:w="2927"/>
          </w:tcPr>
          <w:p>
            <w:r/>
            <w:r>
              <w:rPr>
                <w:b w:val="0"/>
                <w:sz w:val="18"/>
              </w:rPr>
              <w:t>Early-onset epilepsy — gain-of-function</w:t>
            </w:r>
          </w:p>
        </w:tc>
      </w:tr>
      <w:tr>
        <w:tc>
          <w:tcPr>
            <w:tcW w:type="dxa" w:w="2927"/>
          </w:tcPr>
          <w:p>
            <w:r/>
            <w:r>
              <w:rPr>
                <w:b/>
                <w:sz w:val="18"/>
              </w:rPr>
              <w:t>SCN3A</w:t>
            </w:r>
          </w:p>
        </w:tc>
        <w:tc>
          <w:tcPr>
            <w:tcW w:type="dxa" w:w="2927"/>
          </w:tcPr>
          <w:p>
            <w:r/>
            <w:r>
              <w:rPr>
                <w:b w:val="0"/>
                <w:sz w:val="18"/>
              </w:rPr>
              <w:t>GOF</w:t>
            </w:r>
          </w:p>
        </w:tc>
        <w:tc>
          <w:tcPr>
            <w:tcW w:type="dxa" w:w="2927"/>
          </w:tcPr>
          <w:p>
            <w:r/>
            <w:r>
              <w:rPr>
                <w:b w:val="0"/>
                <w:sz w:val="18"/>
              </w:rPr>
              <w:t>Focal epilepsy — persistent Na⁺ current</w:t>
            </w:r>
          </w:p>
        </w:tc>
      </w:tr>
      <w:tr>
        <w:tc>
          <w:tcPr>
            <w:tcW w:type="dxa" w:w="2927"/>
          </w:tcPr>
          <w:p>
            <w:r/>
            <w:r>
              <w:rPr>
                <w:b/>
                <w:sz w:val="18"/>
              </w:rPr>
              <w:t>SCN8A</w:t>
            </w:r>
          </w:p>
        </w:tc>
        <w:tc>
          <w:tcPr>
            <w:tcW w:type="dxa" w:w="2927"/>
          </w:tcPr>
          <w:p>
            <w:r/>
            <w:r>
              <w:rPr>
                <w:b w:val="0"/>
                <w:sz w:val="18"/>
              </w:rPr>
              <w:t>GOF</w:t>
            </w:r>
          </w:p>
        </w:tc>
        <w:tc>
          <w:tcPr>
            <w:tcW w:type="dxa" w:w="2927"/>
          </w:tcPr>
          <w:p>
            <w:r/>
            <w:r>
              <w:rPr>
                <w:b w:val="0"/>
                <w:sz w:val="18"/>
              </w:rPr>
              <w:t>EIEE13 — persistent sodium current</w:t>
            </w:r>
          </w:p>
        </w:tc>
      </w:tr>
      <w:tr>
        <w:tc>
          <w:tcPr>
            <w:tcW w:type="dxa" w:w="2927"/>
          </w:tcPr>
          <w:p>
            <w:r/>
            <w:r>
              <w:rPr>
                <w:b/>
                <w:sz w:val="18"/>
              </w:rPr>
              <w:t>SCN9A</w:t>
            </w:r>
          </w:p>
        </w:tc>
        <w:tc>
          <w:tcPr>
            <w:tcW w:type="dxa" w:w="2927"/>
          </w:tcPr>
          <w:p>
            <w:r/>
            <w:r>
              <w:rPr>
                <w:b w:val="0"/>
                <w:sz w:val="18"/>
              </w:rPr>
              <w:t>GOF</w:t>
            </w:r>
          </w:p>
        </w:tc>
        <w:tc>
          <w:tcPr>
            <w:tcW w:type="dxa" w:w="2927"/>
          </w:tcPr>
          <w:p>
            <w:r/>
            <w:r>
              <w:rPr>
                <w:b w:val="0"/>
                <w:sz w:val="18"/>
              </w:rPr>
              <w:t>Febrile seizures plus</w:t>
            </w:r>
          </w:p>
        </w:tc>
      </w:tr>
      <w:tr>
        <w:tc>
          <w:tcPr>
            <w:tcW w:type="dxa" w:w="2927"/>
          </w:tcPr>
          <w:p>
            <w:r/>
            <w:r>
              <w:rPr>
                <w:b/>
                <w:sz w:val="18"/>
              </w:rPr>
              <w:t>KCNQ2</w:t>
            </w:r>
          </w:p>
        </w:tc>
        <w:tc>
          <w:tcPr>
            <w:tcW w:type="dxa" w:w="2927"/>
          </w:tcPr>
          <w:p>
            <w:r/>
            <w:r>
              <w:rPr>
                <w:b w:val="0"/>
                <w:sz w:val="18"/>
              </w:rPr>
              <w:t>LOF</w:t>
            </w:r>
          </w:p>
        </w:tc>
        <w:tc>
          <w:tcPr>
            <w:tcW w:type="dxa" w:w="2927"/>
          </w:tcPr>
          <w:p>
            <w:r/>
            <w:r>
              <w:rPr>
                <w:b w:val="0"/>
                <w:sz w:val="18"/>
              </w:rPr>
              <w:t>Neonatal epilepsy</w:t>
            </w:r>
          </w:p>
        </w:tc>
      </w:tr>
      <w:tr>
        <w:tc>
          <w:tcPr>
            <w:tcW w:type="dxa" w:w="2927"/>
          </w:tcPr>
          <w:p>
            <w:r/>
            <w:r>
              <w:rPr>
                <w:b/>
                <w:sz w:val="18"/>
              </w:rPr>
              <w:t>KCNQ3</w:t>
            </w:r>
          </w:p>
        </w:tc>
        <w:tc>
          <w:tcPr>
            <w:tcW w:type="dxa" w:w="2927"/>
          </w:tcPr>
          <w:p>
            <w:r/>
            <w:r>
              <w:rPr>
                <w:b w:val="0"/>
                <w:sz w:val="18"/>
              </w:rPr>
              <w:t>LOF</w:t>
            </w:r>
          </w:p>
        </w:tc>
        <w:tc>
          <w:tcPr>
            <w:tcW w:type="dxa" w:w="2927"/>
          </w:tcPr>
          <w:p>
            <w:r/>
            <w:r>
              <w:rPr>
                <w:b w:val="0"/>
                <w:sz w:val="18"/>
              </w:rPr>
              <w:t>Neonatal seizures</w:t>
            </w:r>
          </w:p>
        </w:tc>
      </w:tr>
      <w:tr>
        <w:tc>
          <w:tcPr>
            <w:tcW w:type="dxa" w:w="2927"/>
          </w:tcPr>
          <w:p>
            <w:r/>
            <w:r>
              <w:rPr>
                <w:b/>
                <w:sz w:val="18"/>
              </w:rPr>
              <w:t>GABRA1</w:t>
            </w:r>
          </w:p>
        </w:tc>
        <w:tc>
          <w:tcPr>
            <w:tcW w:type="dxa" w:w="2927"/>
          </w:tcPr>
          <w:p>
            <w:r/>
            <w:r>
              <w:rPr>
                <w:b w:val="0"/>
                <w:sz w:val="18"/>
              </w:rPr>
              <w:t>LOF</w:t>
            </w:r>
          </w:p>
        </w:tc>
        <w:tc>
          <w:tcPr>
            <w:tcW w:type="dxa" w:w="2927"/>
          </w:tcPr>
          <w:p>
            <w:r/>
            <w:r>
              <w:rPr>
                <w:b w:val="0"/>
                <w:sz w:val="18"/>
              </w:rPr>
              <w:t>Generalised epilepsy</w:t>
            </w:r>
          </w:p>
        </w:tc>
      </w:tr>
      <w:tr>
        <w:tc>
          <w:tcPr>
            <w:tcW w:type="dxa" w:w="2927"/>
          </w:tcPr>
          <w:p>
            <w:r/>
            <w:r>
              <w:rPr>
                <w:b/>
                <w:sz w:val="18"/>
              </w:rPr>
              <w:t>GABRG2</w:t>
            </w:r>
          </w:p>
        </w:tc>
        <w:tc>
          <w:tcPr>
            <w:tcW w:type="dxa" w:w="2927"/>
          </w:tcPr>
          <w:p>
            <w:r/>
            <w:r>
              <w:rPr>
                <w:b w:val="0"/>
                <w:sz w:val="18"/>
              </w:rPr>
              <w:t>LOF</w:t>
            </w:r>
          </w:p>
        </w:tc>
        <w:tc>
          <w:tcPr>
            <w:tcW w:type="dxa" w:w="2927"/>
          </w:tcPr>
          <w:p>
            <w:r/>
            <w:r>
              <w:rPr>
                <w:b w:val="0"/>
                <w:sz w:val="18"/>
              </w:rPr>
              <w:t>Febrile seizures plus</w:t>
            </w:r>
          </w:p>
        </w:tc>
      </w:tr>
      <w:tr>
        <w:tc>
          <w:tcPr>
            <w:tcW w:type="dxa" w:w="2927"/>
          </w:tcPr>
          <w:p>
            <w:r/>
            <w:r>
              <w:rPr>
                <w:b/>
                <w:sz w:val="18"/>
              </w:rPr>
              <w:t>TSC1</w:t>
            </w:r>
          </w:p>
        </w:tc>
        <w:tc>
          <w:tcPr>
            <w:tcW w:type="dxa" w:w="2927"/>
          </w:tcPr>
          <w:p>
            <w:r/>
            <w:r>
              <w:rPr>
                <w:b w:val="0"/>
                <w:sz w:val="18"/>
              </w:rPr>
              <w:t>LOF</w:t>
            </w:r>
          </w:p>
        </w:tc>
        <w:tc>
          <w:tcPr>
            <w:tcW w:type="dxa" w:w="2927"/>
          </w:tcPr>
          <w:p>
            <w:r/>
            <w:r>
              <w:rPr>
                <w:b w:val="0"/>
                <w:sz w:val="18"/>
              </w:rPr>
              <w:t>Tuberous sclerosis complex</w:t>
            </w:r>
          </w:p>
        </w:tc>
      </w:tr>
      <w:tr>
        <w:tc>
          <w:tcPr>
            <w:tcW w:type="dxa" w:w="2927"/>
          </w:tcPr>
          <w:p>
            <w:r/>
            <w:r>
              <w:rPr>
                <w:b/>
                <w:sz w:val="18"/>
              </w:rPr>
              <w:t>TSC2</w:t>
            </w:r>
          </w:p>
        </w:tc>
        <w:tc>
          <w:tcPr>
            <w:tcW w:type="dxa" w:w="2927"/>
          </w:tcPr>
          <w:p>
            <w:r/>
            <w:r>
              <w:rPr>
                <w:b w:val="0"/>
                <w:sz w:val="18"/>
              </w:rPr>
              <w:t>LOF</w:t>
            </w:r>
          </w:p>
        </w:tc>
        <w:tc>
          <w:tcPr>
            <w:tcW w:type="dxa" w:w="2927"/>
          </w:tcPr>
          <w:p>
            <w:r/>
            <w:r>
              <w:rPr>
                <w:b w:val="0"/>
                <w:sz w:val="18"/>
              </w:rPr>
              <w:t>Tuberous sclerosis complex</w:t>
            </w:r>
          </w:p>
        </w:tc>
      </w:tr>
      <w:tr>
        <w:tc>
          <w:tcPr>
            <w:tcW w:type="dxa" w:w="2927"/>
          </w:tcPr>
          <w:p>
            <w:r/>
            <w:r>
              <w:rPr>
                <w:b/>
                <w:sz w:val="18"/>
              </w:rPr>
              <w:t>DEPDC5</w:t>
            </w:r>
          </w:p>
        </w:tc>
        <w:tc>
          <w:tcPr>
            <w:tcW w:type="dxa" w:w="2927"/>
          </w:tcPr>
          <w:p>
            <w:r/>
            <w:r>
              <w:rPr>
                <w:b w:val="0"/>
                <w:sz w:val="18"/>
              </w:rPr>
              <w:t>LOF</w:t>
            </w:r>
          </w:p>
        </w:tc>
        <w:tc>
          <w:tcPr>
            <w:tcW w:type="dxa" w:w="2927"/>
          </w:tcPr>
          <w:p>
            <w:r/>
            <w:r>
              <w:rPr>
                <w:b w:val="0"/>
                <w:sz w:val="18"/>
              </w:rPr>
              <w:t>Focal epilepsy, mTOR pathway</w:t>
            </w:r>
          </w:p>
        </w:tc>
      </w:tr>
      <w:tr>
        <w:tc>
          <w:tcPr>
            <w:tcW w:type="dxa" w:w="2927"/>
          </w:tcPr>
          <w:p>
            <w:r/>
            <w:r>
              <w:rPr>
                <w:b/>
                <w:sz w:val="18"/>
              </w:rPr>
              <w:t>NPRL3</w:t>
            </w:r>
          </w:p>
        </w:tc>
        <w:tc>
          <w:tcPr>
            <w:tcW w:type="dxa" w:w="2927"/>
          </w:tcPr>
          <w:p>
            <w:r/>
            <w:r>
              <w:rPr>
                <w:b w:val="0"/>
                <w:sz w:val="18"/>
              </w:rPr>
              <w:t>LOF</w:t>
            </w:r>
          </w:p>
        </w:tc>
        <w:tc>
          <w:tcPr>
            <w:tcW w:type="dxa" w:w="2927"/>
          </w:tcPr>
          <w:p>
            <w:r/>
            <w:r>
              <w:rPr>
                <w:b w:val="0"/>
                <w:sz w:val="18"/>
              </w:rPr>
              <w:t>Familial focal epilepsy, cortical dysplasia</w:t>
            </w:r>
          </w:p>
        </w:tc>
      </w:tr>
      <w:tr>
        <w:tc>
          <w:tcPr>
            <w:tcW w:type="dxa" w:w="2927"/>
          </w:tcPr>
          <w:p>
            <w:r/>
            <w:r>
              <w:rPr>
                <w:b/>
                <w:sz w:val="18"/>
              </w:rPr>
              <w:t>CDKL5</w:t>
            </w:r>
          </w:p>
        </w:tc>
        <w:tc>
          <w:tcPr>
            <w:tcW w:type="dxa" w:w="2927"/>
          </w:tcPr>
          <w:p>
            <w:r/>
            <w:r>
              <w:rPr>
                <w:b w:val="0"/>
                <w:sz w:val="18"/>
              </w:rPr>
              <w:t>LOF</w:t>
            </w:r>
          </w:p>
        </w:tc>
        <w:tc>
          <w:tcPr>
            <w:tcW w:type="dxa" w:w="2927"/>
          </w:tcPr>
          <w:p>
            <w:r/>
            <w:r>
              <w:rPr>
                <w:b w:val="0"/>
                <w:sz w:val="18"/>
              </w:rPr>
              <w:t>Early-onset seizures, X-linked</w:t>
            </w:r>
          </w:p>
        </w:tc>
      </w:tr>
      <w:tr>
        <w:tc>
          <w:tcPr>
            <w:tcW w:type="dxa" w:w="2927"/>
          </w:tcPr>
          <w:p>
            <w:r/>
            <w:r>
              <w:rPr>
                <w:b/>
                <w:sz w:val="18"/>
              </w:rPr>
              <w:t>MECP2</w:t>
            </w:r>
          </w:p>
        </w:tc>
        <w:tc>
          <w:tcPr>
            <w:tcW w:type="dxa" w:w="2927"/>
          </w:tcPr>
          <w:p>
            <w:r/>
            <w:r>
              <w:rPr>
                <w:b w:val="0"/>
                <w:sz w:val="18"/>
              </w:rPr>
              <w:t>LOF</w:t>
            </w:r>
          </w:p>
        </w:tc>
        <w:tc>
          <w:tcPr>
            <w:tcW w:type="dxa" w:w="2927"/>
          </w:tcPr>
          <w:p>
            <w:r/>
            <w:r>
              <w:rPr>
                <w:b w:val="0"/>
                <w:sz w:val="18"/>
              </w:rPr>
              <w:t>Rett syndrome</w:t>
            </w:r>
          </w:p>
        </w:tc>
      </w:tr>
      <w:tr>
        <w:tc>
          <w:tcPr>
            <w:tcW w:type="dxa" w:w="2927"/>
          </w:tcPr>
          <w:p>
            <w:r/>
            <w:r>
              <w:rPr>
                <w:b/>
                <w:sz w:val="18"/>
              </w:rPr>
              <w:t>STXBP1</w:t>
            </w:r>
          </w:p>
        </w:tc>
        <w:tc>
          <w:tcPr>
            <w:tcW w:type="dxa" w:w="2927"/>
          </w:tcPr>
          <w:p>
            <w:r/>
            <w:r>
              <w:rPr>
                <w:b w:val="0"/>
                <w:sz w:val="18"/>
              </w:rPr>
              <w:t>LOF</w:t>
            </w:r>
          </w:p>
        </w:tc>
        <w:tc>
          <w:tcPr>
            <w:tcW w:type="dxa" w:w="2927"/>
          </w:tcPr>
          <w:p>
            <w:r/>
            <w:r>
              <w:rPr>
                <w:b w:val="0"/>
                <w:sz w:val="18"/>
              </w:rPr>
              <w:t>Ohtahara syndrome</w:t>
            </w:r>
          </w:p>
        </w:tc>
      </w:tr>
      <w:tr>
        <w:tc>
          <w:tcPr>
            <w:tcW w:type="dxa" w:w="2927"/>
          </w:tcPr>
          <w:p>
            <w:r/>
            <w:r>
              <w:rPr>
                <w:b/>
                <w:sz w:val="18"/>
              </w:rPr>
              <w:t>ARX</w:t>
            </w:r>
          </w:p>
        </w:tc>
        <w:tc>
          <w:tcPr>
            <w:tcW w:type="dxa" w:w="2927"/>
          </w:tcPr>
          <w:p>
            <w:r/>
            <w:r>
              <w:rPr>
                <w:b w:val="0"/>
                <w:sz w:val="18"/>
              </w:rPr>
              <w:t>LOF</w:t>
            </w:r>
          </w:p>
        </w:tc>
        <w:tc>
          <w:tcPr>
            <w:tcW w:type="dxa" w:w="2927"/>
          </w:tcPr>
          <w:p>
            <w:r/>
            <w:r>
              <w:rPr>
                <w:b w:val="0"/>
                <w:sz w:val="18"/>
              </w:rPr>
              <w:t>X-linked epilepsy, infantile spasms</w:t>
            </w:r>
          </w:p>
        </w:tc>
      </w:tr>
      <w:tr>
        <w:tc>
          <w:tcPr>
            <w:tcW w:type="dxa" w:w="2927"/>
          </w:tcPr>
          <w:p>
            <w:r/>
            <w:r>
              <w:rPr>
                <w:b/>
                <w:sz w:val="18"/>
              </w:rPr>
              <w:t>FOXG1</w:t>
            </w:r>
          </w:p>
        </w:tc>
        <w:tc>
          <w:tcPr>
            <w:tcW w:type="dxa" w:w="2927"/>
          </w:tcPr>
          <w:p>
            <w:r/>
            <w:r>
              <w:rPr>
                <w:b w:val="0"/>
                <w:sz w:val="18"/>
              </w:rPr>
              <w:t>LOF</w:t>
            </w:r>
          </w:p>
        </w:tc>
        <w:tc>
          <w:tcPr>
            <w:tcW w:type="dxa" w:w="2927"/>
          </w:tcPr>
          <w:p>
            <w:r/>
            <w:r>
              <w:rPr>
                <w:b w:val="0"/>
                <w:sz w:val="18"/>
              </w:rPr>
              <w:t>Rett-like syndrome</w:t>
            </w:r>
          </w:p>
        </w:tc>
      </w:tr>
      <w:tr>
        <w:tc>
          <w:tcPr>
            <w:tcW w:type="dxa" w:w="2927"/>
          </w:tcPr>
          <w:p>
            <w:r/>
            <w:r>
              <w:rPr>
                <w:b/>
                <w:sz w:val="18"/>
              </w:rPr>
              <w:t>PCDH19</w:t>
            </w:r>
          </w:p>
        </w:tc>
        <w:tc>
          <w:tcPr>
            <w:tcW w:type="dxa" w:w="2927"/>
          </w:tcPr>
          <w:p>
            <w:r/>
            <w:r>
              <w:rPr>
                <w:b w:val="0"/>
                <w:sz w:val="18"/>
              </w:rPr>
              <w:t>LOF</w:t>
            </w:r>
          </w:p>
        </w:tc>
        <w:tc>
          <w:tcPr>
            <w:tcW w:type="dxa" w:w="2927"/>
          </w:tcPr>
          <w:p>
            <w:r/>
            <w:r>
              <w:rPr>
                <w:b w:val="0"/>
                <w:sz w:val="18"/>
              </w:rPr>
              <w:t>Epilepsy limited to females</w:t>
            </w:r>
          </w:p>
        </w:tc>
      </w:tr>
      <w:tr>
        <w:tc>
          <w:tcPr>
            <w:tcW w:type="dxa" w:w="2927"/>
          </w:tcPr>
          <w:p>
            <w:r/>
            <w:r>
              <w:rPr>
                <w:b/>
                <w:sz w:val="18"/>
              </w:rPr>
              <w:t>SLC2A1</w:t>
            </w:r>
          </w:p>
        </w:tc>
        <w:tc>
          <w:tcPr>
            <w:tcW w:type="dxa" w:w="2927"/>
          </w:tcPr>
          <w:p>
            <w:r/>
            <w:r>
              <w:rPr>
                <w:b w:val="0"/>
                <w:sz w:val="18"/>
              </w:rPr>
              <w:t>LOF</w:t>
            </w:r>
          </w:p>
        </w:tc>
        <w:tc>
          <w:tcPr>
            <w:tcW w:type="dxa" w:w="2927"/>
          </w:tcPr>
          <w:p>
            <w:r/>
            <w:r>
              <w:rPr>
                <w:b w:val="0"/>
                <w:sz w:val="18"/>
              </w:rPr>
              <w:t>GLUT1 deficiency syndrome</w:t>
            </w:r>
          </w:p>
        </w:tc>
      </w:tr>
      <w:tr>
        <w:tc>
          <w:tcPr>
            <w:tcW w:type="dxa" w:w="2927"/>
          </w:tcPr>
          <w:p>
            <w:r/>
            <w:r>
              <w:rPr>
                <w:b/>
                <w:sz w:val="18"/>
              </w:rPr>
              <w:t>SLC6A1</w:t>
            </w:r>
          </w:p>
        </w:tc>
        <w:tc>
          <w:tcPr>
            <w:tcW w:type="dxa" w:w="2927"/>
          </w:tcPr>
          <w:p>
            <w:r/>
            <w:r>
              <w:rPr>
                <w:b w:val="0"/>
                <w:sz w:val="18"/>
              </w:rPr>
              <w:t>LOF</w:t>
            </w:r>
          </w:p>
        </w:tc>
        <w:tc>
          <w:tcPr>
            <w:tcW w:type="dxa" w:w="2927"/>
          </w:tcPr>
          <w:p>
            <w:r/>
            <w:r>
              <w:rPr>
                <w:b w:val="0"/>
                <w:sz w:val="18"/>
              </w:rPr>
              <w:t>Myoclonic-atonic epilepsy</w:t>
            </w:r>
          </w:p>
        </w:tc>
      </w:tr>
      <w:tr>
        <w:tc>
          <w:tcPr>
            <w:tcW w:type="dxa" w:w="2927"/>
          </w:tcPr>
          <w:p>
            <w:r/>
            <w:r>
              <w:rPr>
                <w:b/>
                <w:sz w:val="18"/>
              </w:rPr>
              <w:t>CHD2</w:t>
            </w:r>
          </w:p>
        </w:tc>
        <w:tc>
          <w:tcPr>
            <w:tcW w:type="dxa" w:w="2927"/>
          </w:tcPr>
          <w:p>
            <w:r/>
            <w:r>
              <w:rPr>
                <w:b w:val="0"/>
                <w:sz w:val="18"/>
              </w:rPr>
              <w:t>LOF</w:t>
            </w:r>
          </w:p>
        </w:tc>
        <w:tc>
          <w:tcPr>
            <w:tcW w:type="dxa" w:w="2927"/>
          </w:tcPr>
          <w:p>
            <w:r/>
            <w:r>
              <w:rPr>
                <w:b w:val="0"/>
                <w:sz w:val="18"/>
              </w:rPr>
              <w:t>Myoclonic epilepsy</w:t>
            </w:r>
          </w:p>
        </w:tc>
      </w:tr>
      <w:tr>
        <w:tc>
          <w:tcPr>
            <w:tcW w:type="dxa" w:w="2927"/>
          </w:tcPr>
          <w:p>
            <w:r/>
            <w:r>
              <w:rPr>
                <w:b/>
                <w:sz w:val="18"/>
              </w:rPr>
              <w:t>PLCB1</w:t>
            </w:r>
          </w:p>
        </w:tc>
        <w:tc>
          <w:tcPr>
            <w:tcW w:type="dxa" w:w="2927"/>
          </w:tcPr>
          <w:p>
            <w:r/>
            <w:r>
              <w:rPr>
                <w:b w:val="0"/>
                <w:sz w:val="18"/>
              </w:rPr>
              <w:t>LOF</w:t>
            </w:r>
          </w:p>
        </w:tc>
        <w:tc>
          <w:tcPr>
            <w:tcW w:type="dxa" w:w="2927"/>
          </w:tcPr>
          <w:p>
            <w:r/>
            <w:r>
              <w:rPr>
                <w:b w:val="0"/>
                <w:sz w:val="18"/>
              </w:rPr>
              <w:t>Early-onset epileptic encephalopathy</w:t>
            </w:r>
          </w:p>
        </w:tc>
      </w:tr>
      <w:tr>
        <w:tc>
          <w:tcPr>
            <w:tcW w:type="dxa" w:w="2927"/>
          </w:tcPr>
          <w:p>
            <w:r/>
            <w:r>
              <w:rPr>
                <w:b/>
                <w:sz w:val="18"/>
              </w:rPr>
              <w:t>PRRT2</w:t>
            </w:r>
          </w:p>
        </w:tc>
        <w:tc>
          <w:tcPr>
            <w:tcW w:type="dxa" w:w="2927"/>
          </w:tcPr>
          <w:p>
            <w:r/>
            <w:r>
              <w:rPr>
                <w:b w:val="0"/>
                <w:sz w:val="18"/>
              </w:rPr>
              <w:t>LOF</w:t>
            </w:r>
          </w:p>
        </w:tc>
        <w:tc>
          <w:tcPr>
            <w:tcW w:type="dxa" w:w="2927"/>
          </w:tcPr>
          <w:p>
            <w:r/>
            <w:r>
              <w:rPr>
                <w:b w:val="0"/>
                <w:sz w:val="18"/>
              </w:rPr>
              <w:t>Paroxysmal kinesigenic dyskinesia</w:t>
            </w:r>
          </w:p>
        </w:tc>
      </w:tr>
      <w:tr>
        <w:tc>
          <w:tcPr>
            <w:tcW w:type="dxa" w:w="2927"/>
          </w:tcPr>
          <w:p>
            <w:r/>
            <w:r>
              <w:rPr>
                <w:b/>
                <w:sz w:val="18"/>
              </w:rPr>
              <w:t>TBC1D24</w:t>
            </w:r>
          </w:p>
        </w:tc>
        <w:tc>
          <w:tcPr>
            <w:tcW w:type="dxa" w:w="2927"/>
          </w:tcPr>
          <w:p>
            <w:r/>
            <w:r>
              <w:rPr>
                <w:b w:val="0"/>
                <w:sz w:val="18"/>
              </w:rPr>
              <w:t>LOF</w:t>
            </w:r>
          </w:p>
        </w:tc>
        <w:tc>
          <w:tcPr>
            <w:tcW w:type="dxa" w:w="2927"/>
          </w:tcPr>
          <w:p>
            <w:r/>
            <w:r>
              <w:rPr>
                <w:b w:val="0"/>
                <w:sz w:val="18"/>
              </w:rPr>
              <w:t>Multifocal epilepsy</w:t>
            </w:r>
          </w:p>
        </w:tc>
      </w:tr>
      <w:tr>
        <w:tc>
          <w:tcPr>
            <w:tcW w:type="dxa" w:w="2927"/>
          </w:tcPr>
          <w:p>
            <w:r/>
            <w:r>
              <w:rPr>
                <w:b/>
                <w:sz w:val="18"/>
              </w:rPr>
              <w:t>ALDH7A1</w:t>
            </w:r>
          </w:p>
        </w:tc>
        <w:tc>
          <w:tcPr>
            <w:tcW w:type="dxa" w:w="2927"/>
          </w:tcPr>
          <w:p>
            <w:r/>
            <w:r>
              <w:rPr>
                <w:b w:val="0"/>
                <w:sz w:val="18"/>
              </w:rPr>
              <w:t>LOF</w:t>
            </w:r>
          </w:p>
        </w:tc>
        <w:tc>
          <w:tcPr>
            <w:tcW w:type="dxa" w:w="2927"/>
          </w:tcPr>
          <w:p>
            <w:r/>
            <w:r>
              <w:rPr>
                <w:b w:val="0"/>
                <w:sz w:val="18"/>
              </w:rPr>
              <w:t>Pyridoxine-dependent epilepsy</w:t>
            </w:r>
          </w:p>
        </w:tc>
      </w:tr>
    </w:tbl>
    <w:p>
      <w:pPr>
        <w:pStyle w:val="Body"/>
        <w:widowControl w:val="0"/>
        <w:spacing w:line="240" w:lineRule="auto"/>
        <w:jc w:val="center"/>
      </w:pPr>
    </w:p>
    <w:p>
      <w:pPr>
        <w:pStyle w:val="Body"/>
        <w:spacing w:before="240" w:after="120"/>
      </w:pPr>
      <w:r>
        <w:rPr>
          <w:rFonts w:ascii="Times New Roman" w:hAnsi="Times New Roman"/>
          <w:b w:val="1"/>
          <w:bCs w:val="1"/>
          <w:sz w:val="24"/>
          <w:szCs w:val="24"/>
          <w:rtl w:val="0"/>
          <w:lang w:val="en-US"/>
        </w:rPr>
        <w:t>6.2.2 ACMG Validation Results</w:t>
      </w:r>
    </w:p>
    <w:p>
      <w:pPr>
        <w:pStyle w:val="Body"/>
        <w:spacing w:after="120" w:line="360" w:lineRule="auto"/>
        <w:jc w:val="both"/>
      </w:pPr>
      <w:r>
        <w:rPr>
          <w:rFonts w:ascii="Times New Roman" w:hAnsi="Times New Roman"/>
          <w:sz w:val="24"/>
          <w:szCs w:val="24"/>
          <w:rtl w:val="0"/>
          <w:lang w:val="en-US"/>
        </w:rPr>
        <w:t>The ACMG engine was validated against 200 real ClinVar variants with known expert classifications. Results: overall accuracy 98.5% (197/200 correct); pathogenic accuracy 100% (all 101 pathogenic variants correctly classified); benign accuracy 97.0% (97/100 benign variants correctly classified). The tier distribution over the 200 variants: Pathogenic 47 (23.5%), Likely Pathogenic 54 (27.0%), Likely Benign 97 (48.5%), VUS 2 (1.0%).</w:t>
      </w:r>
    </w:p>
    <w:p>
      <w:pPr>
        <w:pStyle w:val="Body"/>
        <w:spacing w:before="240" w:after="120"/>
      </w:pPr>
      <w:r>
        <w:rPr>
          <w:rFonts w:ascii="Times New Roman" w:hAnsi="Times New Roman"/>
          <w:b w:val="1"/>
          <w:bCs w:val="1"/>
          <w:sz w:val="24"/>
          <w:szCs w:val="24"/>
          <w:rtl w:val="0"/>
        </w:rPr>
        <w:t>6.3 RAG Pipeline Implementation</w:t>
      </w:r>
    </w:p>
    <w:p>
      <w:pPr>
        <w:pStyle w:val="Body"/>
        <w:spacing w:after="120" w:line="360" w:lineRule="auto"/>
        <w:jc w:val="both"/>
      </w:pPr>
      <w:r>
        <w:rPr>
          <w:rFonts w:ascii="Times New Roman" w:hAnsi="Times New Roman"/>
          <w:sz w:val="24"/>
          <w:szCs w:val="24"/>
          <w:rtl w:val="0"/>
          <w:lang w:val="en-US"/>
        </w:rPr>
        <w:t>The Retrieval-Augmented Generation pipeline integrates four data sources to condition LLM generation on verified clinical evidence, replacing speculative generation with evidence-anchored narrative.</w:t>
      </w:r>
    </w:p>
    <w:p>
      <w:pPr>
        <w:pStyle w:val="Body"/>
        <w:spacing w:before="240" w:after="120"/>
      </w:pPr>
      <w:r>
        <w:rPr>
          <w:rFonts w:ascii="Times New Roman" w:hAnsi="Times New Roman"/>
          <w:b w:val="1"/>
          <w:bCs w:val="1"/>
          <w:sz w:val="24"/>
          <w:szCs w:val="24"/>
          <w:rtl w:val="0"/>
          <w:lang w:val="de-DE"/>
        </w:rPr>
        <w:t>6.3.1 FAISS Literature Index</w:t>
      </w:r>
    </w:p>
    <w:p>
      <w:pPr>
        <w:pStyle w:val="Body"/>
        <w:spacing w:after="120" w:line="36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The PubMed abstract corpus is indexed offline using the PubMedBERT embedding model. Each abstract is chunked, embedded (768 dimensions), and stored in a FAISS flat L2 index. At runtime, the gene name (e.g., 'SCN1A epilepsy') is embedded using the same model and the top-5 nearest neighbours are retrieved. The 363-vector index enables sub-millisecond retrieval.</w:t>
      </w:r>
    </w:p>
    <w:p>
      <w:pPr>
        <w:pStyle w:val="Body"/>
        <w:spacing w:after="120" w:line="360" w:lineRule="auto"/>
        <w:jc w:val="both"/>
        <w:rPr>
          <w:rFonts w:ascii="Times New Roman" w:cs="Times New Roman" w:hAnsi="Times New Roman" w:eastAsia="Times New Roman"/>
          <w:sz w:val="24"/>
          <w:szCs w:val="24"/>
        </w:rPr>
      </w:pPr>
    </w:p>
    <w:p>
      <w:pPr>
        <w:pStyle w:val="Body"/>
        <w:spacing w:after="120" w:line="360" w:lineRule="auto"/>
        <w:jc w:val="both"/>
      </w:pPr>
    </w:p>
    <w:p>
      <w:pPr>
        <w:pStyle w:val="Body"/>
        <w:spacing w:before="240" w:after="120"/>
      </w:pPr>
      <w:r>
        <w:rPr>
          <w:rFonts w:ascii="Times New Roman" w:hAnsi="Times New Roman"/>
          <w:b w:val="1"/>
          <w:bCs w:val="1"/>
          <w:sz w:val="24"/>
          <w:szCs w:val="24"/>
          <w:rtl w:val="0"/>
          <w:lang w:val="en-US"/>
        </w:rPr>
        <w:t>6.3.2 ClinVar and gnomAD Fetchers</w:t>
      </w:r>
    </w:p>
    <w:p>
      <w:pPr>
        <w:pStyle w:val="Body"/>
        <w:spacing w:after="120" w:line="360" w:lineRule="auto"/>
        <w:jc w:val="both"/>
      </w:pPr>
      <w:r>
        <w:rPr>
          <w:rFonts w:ascii="Times New Roman" w:hAnsi="Times New Roman"/>
          <w:sz w:val="24"/>
          <w:szCs w:val="24"/>
          <w:rtl w:val="0"/>
          <w:lang w:val="en-US"/>
        </w:rPr>
        <w:t>The ClinVarFetcher queries NCBI eutils with gene-specific searches and caches results in SQLite. The GnomADFetcher uses GraphQL to query gnomAD for specific variant identifiers. Both fetchers implement exponential backoff (2s, 4s, 8s) for API rate limit handling and a 30-day cache TTL to minimise external API calls during repeated analyses.</w:t>
      </w:r>
    </w:p>
    <w:p>
      <w:pPr>
        <w:pStyle w:val="Body"/>
        <w:spacing w:before="240" w:after="120"/>
      </w:pPr>
      <w:r>
        <w:rPr>
          <w:rFonts w:ascii="Times New Roman" w:hAnsi="Times New Roman"/>
          <w:b w:val="1"/>
          <w:bCs w:val="1"/>
          <w:sz w:val="24"/>
          <w:szCs w:val="24"/>
          <w:rtl w:val="0"/>
          <w:lang w:val="fr-FR"/>
        </w:rPr>
        <w:t>6.3.3 Prompt Construction</w:t>
      </w:r>
    </w:p>
    <w:p>
      <w:pPr>
        <w:pStyle w:val="Body"/>
        <w:spacing w:after="120" w:line="360" w:lineRule="auto"/>
        <w:jc w:val="both"/>
      </w:pPr>
      <w:r>
        <w:rPr>
          <w:rFonts w:ascii="Times New Roman" w:hAnsi="Times New Roman"/>
          <w:sz w:val="24"/>
          <w:szCs w:val="24"/>
          <w:rtl w:val="0"/>
          <w:lang w:val="en-US"/>
        </w:rPr>
        <w:t>The RAG generator constructs a multi-section prompt: (1) Variant summary (gene, consequence, alleles, origin), (2) ML prediction with calibrated probability, (3) ACMG classification with criteria met and score, (4) SHAP attributions translated to clinical language, (5) gnomAD population frequency context, (6) ClinVar classification history, (7) Contradiction analysis if conflicts exist, (8) Retrieved PubMed abstract summaries, (9) PharmGKB drug-gene data. The LLM is instructed to produce a structured clinical report with sections for Classification, Evidence Summary, Clinical Significance, and Recommendations.</w:t>
      </w:r>
    </w:p>
    <w:p>
      <w:pPr>
        <w:pStyle w:val="Body"/>
        <w:spacing w:before="240" w:after="120"/>
      </w:pPr>
      <w:r>
        <w:rPr>
          <w:rFonts w:ascii="Times New Roman" w:hAnsi="Times New Roman"/>
          <w:b w:val="1"/>
          <w:bCs w:val="1"/>
          <w:sz w:val="24"/>
          <w:szCs w:val="24"/>
          <w:rtl w:val="0"/>
          <w:lang w:val="de-DE"/>
        </w:rPr>
        <w:t>6.4 User Interface Implementation</w:t>
      </w:r>
    </w:p>
    <w:p>
      <w:pPr>
        <w:pStyle w:val="Body"/>
        <w:spacing w:after="120" w:line="360" w:lineRule="auto"/>
        <w:jc w:val="both"/>
      </w:pPr>
      <w:r>
        <w:rPr>
          <w:rFonts w:ascii="Times New Roman" w:hAnsi="Times New Roman"/>
          <w:sz w:val="24"/>
          <w:szCs w:val="24"/>
          <w:rtl w:val="0"/>
          <w:lang w:val="en-US"/>
        </w:rPr>
        <w:t>The frontend is a React 18 TypeScript single-page application served independently from the FastAPI backend. The UI is organised into five main components:</w:t>
      </w:r>
    </w:p>
    <w:p>
      <w:pPr>
        <w:pStyle w:val="Body"/>
        <w:spacing w:after="80"/>
        <w:ind w:left="576" w:hanging="288"/>
      </w:pPr>
      <w:r>
        <w:rPr>
          <w:rFonts w:ascii="Times New Roman" w:hAnsi="Times New Roman" w:hint="default"/>
          <w:sz w:val="24"/>
          <w:szCs w:val="24"/>
          <w:rtl w:val="0"/>
          <w:lang w:val="en-US"/>
        </w:rPr>
        <w:t xml:space="preserve">•  </w:t>
      </w:r>
      <w:r>
        <w:rPr>
          <w:rFonts w:ascii="Times New Roman" w:hAnsi="Times New Roman"/>
          <w:sz w:val="24"/>
          <w:szCs w:val="24"/>
          <w:rtl w:val="0"/>
          <w:lang w:val="en-US"/>
        </w:rPr>
        <w:t>VariantForm: A structured input form with dropdown selectors for gene (27 options), chromosome (1</w:t>
      </w:r>
      <w:r>
        <w:rPr>
          <w:rFonts w:ascii="Times New Roman" w:hAnsi="Times New Roman" w:hint="default"/>
          <w:sz w:val="24"/>
          <w:szCs w:val="24"/>
          <w:rtl w:val="0"/>
          <w:lang w:val="en-US"/>
        </w:rPr>
        <w:t>–</w:t>
      </w:r>
      <w:r>
        <w:rPr>
          <w:rFonts w:ascii="Times New Roman" w:hAnsi="Times New Roman"/>
          <w:sz w:val="24"/>
          <w:szCs w:val="24"/>
          <w:rtl w:val="0"/>
          <w:lang w:val="en-US"/>
        </w:rPr>
        <w:t>22, X, Y), molecular consequence (15 options), variant type, review status, and origin. Quick-load buttons populate the form with four pre-defined example variants.</w:t>
      </w:r>
    </w:p>
    <w:p>
      <w:pPr>
        <w:pStyle w:val="Body"/>
        <w:spacing w:after="80"/>
        <w:ind w:left="576" w:hanging="288"/>
      </w:pPr>
      <w:r>
        <w:rPr>
          <w:rFonts w:ascii="Times New Roman" w:hAnsi="Times New Roman" w:hint="default"/>
          <w:sz w:val="24"/>
          <w:szCs w:val="24"/>
          <w:rtl w:val="0"/>
          <w:lang w:val="en-US"/>
        </w:rPr>
        <w:t xml:space="preserve">•  </w:t>
      </w:r>
      <w:r>
        <w:rPr>
          <w:rFonts w:ascii="Times New Roman" w:hAnsi="Times New Roman"/>
          <w:sz w:val="24"/>
          <w:szCs w:val="24"/>
          <w:rtl w:val="0"/>
          <w:lang w:val="en-US"/>
        </w:rPr>
        <w:t>ResultCard: Displays the ML prediction (Pathogenic/Benign), calibrated probability as a progress bar, and confidence percentage with colour-coded severity (red for pathogenic, green for benign).</w:t>
      </w:r>
    </w:p>
    <w:p>
      <w:pPr>
        <w:pStyle w:val="Body"/>
        <w:spacing w:after="80"/>
        <w:ind w:left="576" w:hanging="288"/>
      </w:pPr>
      <w:r>
        <w:rPr>
          <w:rFonts w:ascii="Times New Roman" w:hAnsi="Times New Roman" w:hint="default"/>
          <w:sz w:val="24"/>
          <w:szCs w:val="24"/>
          <w:rtl w:val="0"/>
          <w:lang w:val="en-US"/>
        </w:rPr>
        <w:t xml:space="preserve">•  </w:t>
      </w:r>
      <w:r>
        <w:rPr>
          <w:rFonts w:ascii="Times New Roman" w:hAnsi="Times New Roman"/>
          <w:sz w:val="24"/>
          <w:szCs w:val="24"/>
          <w:rtl w:val="0"/>
          <w:lang w:val="en-US"/>
        </w:rPr>
        <w:t>ACMGPanel: Presents the ACMG five-tier classification, total Tavtigian score, and a table of all criteria met with their point values and justification text.</w:t>
      </w:r>
    </w:p>
    <w:p>
      <w:pPr>
        <w:pStyle w:val="Body"/>
        <w:spacing w:after="80"/>
        <w:ind w:left="576" w:hanging="288"/>
      </w:pPr>
      <w:r>
        <w:rPr>
          <w:rFonts w:ascii="Times New Roman" w:hAnsi="Times New Roman" w:hint="default"/>
          <w:sz w:val="24"/>
          <w:szCs w:val="24"/>
          <w:rtl w:val="0"/>
          <w:lang w:val="en-US"/>
        </w:rPr>
        <w:t xml:space="preserve">•  </w:t>
      </w:r>
      <w:r>
        <w:rPr>
          <w:rFonts w:ascii="Times New Roman" w:hAnsi="Times New Roman"/>
          <w:sz w:val="24"/>
          <w:szCs w:val="24"/>
          <w:rtl w:val="0"/>
          <w:lang w:val="en-US"/>
        </w:rPr>
        <w:t>SHAPPanel: Visualises the top-5 SHAP feature contributors as a ranked list with direction indicators (</w:t>
      </w:r>
      <w:r>
        <w:rPr>
          <w:rFonts w:ascii="Times New Roman" w:hAnsi="Times New Roman" w:hint="default"/>
          <w:sz w:val="24"/>
          <w:szCs w:val="24"/>
          <w:rtl w:val="0"/>
          <w:lang w:val="en-US"/>
        </w:rPr>
        <w:t xml:space="preserve">↑ </w:t>
      </w:r>
      <w:r>
        <w:rPr>
          <w:rFonts w:ascii="Times New Roman" w:hAnsi="Times New Roman"/>
          <w:sz w:val="24"/>
          <w:szCs w:val="24"/>
          <w:rtl w:val="0"/>
          <w:lang w:val="en-US"/>
        </w:rPr>
        <w:t xml:space="preserve">increases pathogenicity / </w:t>
      </w:r>
      <w:r>
        <w:rPr>
          <w:rFonts w:ascii="Times New Roman" w:hAnsi="Times New Roman" w:hint="default"/>
          <w:sz w:val="24"/>
          <w:szCs w:val="24"/>
          <w:rtl w:val="0"/>
          <w:lang w:val="en-US"/>
        </w:rPr>
        <w:t xml:space="preserve">↓ </w:t>
      </w:r>
      <w:r>
        <w:rPr>
          <w:rFonts w:ascii="Times New Roman" w:hAnsi="Times New Roman"/>
          <w:sz w:val="24"/>
          <w:szCs w:val="24"/>
          <w:rtl w:val="0"/>
          <w:lang w:val="en-US"/>
        </w:rPr>
        <w:t>decreases) and percentage contributions.</w:t>
      </w:r>
    </w:p>
    <w:p>
      <w:pPr>
        <w:pStyle w:val="Body"/>
        <w:spacing w:after="80"/>
        <w:ind w:left="576" w:hanging="288"/>
      </w:pPr>
      <w:r>
        <w:rPr>
          <w:rFonts w:ascii="Times New Roman" w:hAnsi="Times New Roman" w:hint="default"/>
          <w:sz w:val="24"/>
          <w:szCs w:val="24"/>
          <w:rtl w:val="0"/>
          <w:lang w:val="en-US"/>
        </w:rPr>
        <w:t xml:space="preserve">•  </w:t>
      </w:r>
      <w:r>
        <w:rPr>
          <w:rFonts w:ascii="Times New Roman" w:hAnsi="Times New Roman"/>
          <w:sz w:val="24"/>
          <w:szCs w:val="24"/>
          <w:rtl w:val="0"/>
          <w:lang w:val="en-US"/>
        </w:rPr>
        <w:t>ChatInterface: A multi-turn conversational interface where clinicians can ask follow-up questions about the variant, its gene, or the ACMG criteria. The chat system passes the current variant analysis as context to the LLM.</w:t>
      </w:r>
    </w:p>
    <w:p>
      <w:pPr>
        <w:pStyle w:val="Body"/>
        <w:jc w:val="center"/>
      </w:pPr>
      <w:r>
        <w:drawing xmlns:a="http://schemas.openxmlformats.org/drawingml/2006/main">
          <wp:inline distT="0" distB="0" distL="0" distR="0">
            <wp:extent cx="5303521" cy="2623965"/>
            <wp:effectExtent l="0" t="0" r="0" b="0"/>
            <wp:docPr id="1073741833" name="officeArt object" descr="Picture 9"/>
            <wp:cNvGraphicFramePr/>
            <a:graphic xmlns:a="http://schemas.openxmlformats.org/drawingml/2006/main">
              <a:graphicData uri="http://schemas.openxmlformats.org/drawingml/2006/picture">
                <pic:pic xmlns:pic="http://schemas.openxmlformats.org/drawingml/2006/picture">
                  <pic:nvPicPr>
                    <pic:cNvPr id="1073741833" name="Picture 9" descr="Picture 9"/>
                    <pic:cNvPicPr>
                      <a:picLocks noChangeAspect="1"/>
                    </pic:cNvPicPr>
                  </pic:nvPicPr>
                  <pic:blipFill>
                    <a:blip r:embed="rId16">
                      <a:extLst/>
                    </a:blip>
                    <a:stretch>
                      <a:fillRect/>
                    </a:stretch>
                  </pic:blipFill>
                  <pic:spPr>
                    <a:xfrm>
                      <a:off x="0" y="0"/>
                      <a:ext cx="5303521" cy="2623965"/>
                    </a:xfrm>
                    <a:prstGeom prst="rect">
                      <a:avLst/>
                    </a:prstGeom>
                    <a:ln w="12700" cap="flat">
                      <a:noFill/>
                      <a:miter lim="400000"/>
                    </a:ln>
                    <a:effectLst/>
                  </pic:spPr>
                </pic:pic>
              </a:graphicData>
            </a:graphic>
          </wp:inline>
        </w:drawing>
      </w:r>
    </w:p>
    <w:p>
      <w:pPr>
        <w:pStyle w:val="Body"/>
        <w:jc w:val="center"/>
      </w:pPr>
      <w:r>
        <w:rPr>
          <w:rFonts w:ascii="Times New Roman" w:hAnsi="Times New Roman"/>
          <w:b w:val="1"/>
          <w:bCs w:val="1"/>
          <w:i w:val="1"/>
          <w:iCs w:val="1"/>
          <w:rtl w:val="0"/>
          <w:lang w:val="en-US"/>
        </w:rPr>
        <w:t xml:space="preserve">Fig. 6.6: Variant Pathogenicity Analysis </w:t>
      </w:r>
      <w:r>
        <w:rPr>
          <w:rFonts w:ascii="Times New Roman" w:hAnsi="Times New Roman" w:hint="default"/>
          <w:b w:val="1"/>
          <w:bCs w:val="1"/>
          <w:i w:val="1"/>
          <w:iCs w:val="1"/>
          <w:rtl w:val="0"/>
          <w:lang w:val="en-US"/>
        </w:rPr>
        <w:t xml:space="preserve">— </w:t>
      </w:r>
      <w:r>
        <w:rPr>
          <w:rFonts w:ascii="Times New Roman" w:hAnsi="Times New Roman"/>
          <w:b w:val="1"/>
          <w:bCs w:val="1"/>
          <w:i w:val="1"/>
          <w:iCs w:val="1"/>
          <w:rtl w:val="0"/>
          <w:lang w:val="en-US"/>
        </w:rPr>
        <w:t>Empty Input Form with SCN1A Gene Selected, Quick Example Buttons and No Prediction Yet Placeholder Panel</w:t>
      </w:r>
    </w:p>
    <w:p>
      <w:pPr>
        <w:pStyle w:val="Body"/>
        <w:jc w:val="center"/>
      </w:pPr>
      <w:r>
        <w:drawing xmlns:a="http://schemas.openxmlformats.org/drawingml/2006/main">
          <wp:inline distT="0" distB="0" distL="0" distR="0">
            <wp:extent cx="5303521" cy="2623965"/>
            <wp:effectExtent l="0" t="0" r="0" b="0"/>
            <wp:docPr id="1073741834" name="officeArt object" descr="Picture 10"/>
            <wp:cNvGraphicFramePr/>
            <a:graphic xmlns:a="http://schemas.openxmlformats.org/drawingml/2006/main">
              <a:graphicData uri="http://schemas.openxmlformats.org/drawingml/2006/picture">
                <pic:pic xmlns:pic="http://schemas.openxmlformats.org/drawingml/2006/picture">
                  <pic:nvPicPr>
                    <pic:cNvPr id="1073741834" name="Picture 10" descr="Picture 10"/>
                    <pic:cNvPicPr>
                      <a:picLocks noChangeAspect="1"/>
                    </pic:cNvPicPr>
                  </pic:nvPicPr>
                  <pic:blipFill>
                    <a:blip r:embed="rId17">
                      <a:extLst/>
                    </a:blip>
                    <a:stretch>
                      <a:fillRect/>
                    </a:stretch>
                  </pic:blipFill>
                  <pic:spPr>
                    <a:xfrm>
                      <a:off x="0" y="0"/>
                      <a:ext cx="5303521" cy="2623965"/>
                    </a:xfrm>
                    <a:prstGeom prst="rect">
                      <a:avLst/>
                    </a:prstGeom>
                    <a:ln w="12700" cap="flat">
                      <a:noFill/>
                      <a:miter lim="400000"/>
                    </a:ln>
                    <a:effectLst/>
                  </pic:spPr>
                </pic:pic>
              </a:graphicData>
            </a:graphic>
          </wp:inline>
        </w:drawing>
      </w:r>
    </w:p>
    <w:p>
      <w:pPr>
        <w:pStyle w:val="Body"/>
        <w:jc w:val="center"/>
      </w:pPr>
      <w:r>
        <w:rPr>
          <w:rFonts w:ascii="Times New Roman" w:hAnsi="Times New Roman"/>
          <w:b w:val="1"/>
          <w:bCs w:val="1"/>
          <w:i w:val="1"/>
          <w:iCs w:val="1"/>
          <w:rtl w:val="0"/>
        </w:rPr>
        <w:t>Fig. 6.7: SCN1A C</w:t>
      </w:r>
      <w:r>
        <w:rPr>
          <w:rFonts w:ascii="Times New Roman" w:hAnsi="Times New Roman" w:hint="default"/>
          <w:b w:val="1"/>
          <w:bCs w:val="1"/>
          <w:i w:val="1"/>
          <w:iCs w:val="1"/>
          <w:rtl w:val="0"/>
          <w:lang w:val="en-US"/>
        </w:rPr>
        <w:t>→</w:t>
      </w:r>
      <w:r>
        <w:rPr>
          <w:rFonts w:ascii="Times New Roman" w:hAnsi="Times New Roman"/>
          <w:b w:val="1"/>
          <w:bCs w:val="1"/>
          <w:i w:val="1"/>
          <w:iCs w:val="1"/>
          <w:rtl w:val="0"/>
          <w:lang w:val="en-US"/>
        </w:rPr>
        <w:t xml:space="preserve">T Nonsense Variant </w:t>
      </w:r>
      <w:r>
        <w:rPr>
          <w:rFonts w:ascii="Times New Roman" w:hAnsi="Times New Roman" w:hint="default"/>
          <w:b w:val="1"/>
          <w:bCs w:val="1"/>
          <w:i w:val="1"/>
          <w:iCs w:val="1"/>
          <w:rtl w:val="0"/>
          <w:lang w:val="en-US"/>
        </w:rPr>
        <w:t xml:space="preserve">— </w:t>
      </w:r>
      <w:r>
        <w:rPr>
          <w:rFonts w:ascii="Times New Roman" w:hAnsi="Times New Roman"/>
          <w:b w:val="1"/>
          <w:bCs w:val="1"/>
          <w:i w:val="1"/>
          <w:iCs w:val="1"/>
          <w:rtl w:val="0"/>
          <w:lang w:val="en-US"/>
        </w:rPr>
        <w:t>Filled Input Form with Live Pathogenic Classification (99.5% Confidence), Variant Details and ACMG Score +9 Panel</w:t>
      </w:r>
    </w:p>
    <w:p>
      <w:pPr>
        <w:pStyle w:val="Body"/>
      </w:pPr>
      <w:r>
        <w:rPr>
          <w:rFonts w:ascii="Arial Unicode MS" w:cs="Arial Unicode MS" w:hAnsi="Arial Unicode MS" w:eastAsia="Arial Unicode MS"/>
          <w:b w:val="0"/>
          <w:bCs w:val="0"/>
          <w:i w:val="0"/>
          <w:iCs w:val="0"/>
        </w:rPr>
        <w:br w:type="page"/>
      </w:r>
    </w:p>
    <w:p>
      <w:pPr>
        <w:pStyle w:val="Body"/>
        <w:jc w:val="center"/>
      </w:pPr>
      <w:r>
        <w:drawing xmlns:a="http://schemas.openxmlformats.org/drawingml/2006/main">
          <wp:inline distT="0" distB="0" distL="0" distR="0">
            <wp:extent cx="5303521" cy="2623965"/>
            <wp:effectExtent l="0" t="0" r="0" b="0"/>
            <wp:docPr id="1073741835" name="officeArt object" descr="Picture 11"/>
            <wp:cNvGraphicFramePr/>
            <a:graphic xmlns:a="http://schemas.openxmlformats.org/drawingml/2006/main">
              <a:graphicData uri="http://schemas.openxmlformats.org/drawingml/2006/picture">
                <pic:pic xmlns:pic="http://schemas.openxmlformats.org/drawingml/2006/picture">
                  <pic:nvPicPr>
                    <pic:cNvPr id="1073741835" name="Picture 11" descr="Picture 11"/>
                    <pic:cNvPicPr>
                      <a:picLocks noChangeAspect="1"/>
                    </pic:cNvPicPr>
                  </pic:nvPicPr>
                  <pic:blipFill>
                    <a:blip r:embed="rId18">
                      <a:extLst/>
                    </a:blip>
                    <a:stretch>
                      <a:fillRect/>
                    </a:stretch>
                  </pic:blipFill>
                  <pic:spPr>
                    <a:xfrm>
                      <a:off x="0" y="0"/>
                      <a:ext cx="5303521" cy="2623965"/>
                    </a:xfrm>
                    <a:prstGeom prst="rect">
                      <a:avLst/>
                    </a:prstGeom>
                    <a:ln w="12700" cap="flat">
                      <a:noFill/>
                      <a:miter lim="400000"/>
                    </a:ln>
                    <a:effectLst/>
                  </pic:spPr>
                </pic:pic>
              </a:graphicData>
            </a:graphic>
          </wp:inline>
        </w:drawing>
      </w:r>
    </w:p>
    <w:p>
      <w:pPr>
        <w:pStyle w:val="Body"/>
        <w:jc w:val="center"/>
      </w:pPr>
      <w:r>
        <w:rPr>
          <w:rFonts w:ascii="Times New Roman" w:hAnsi="Times New Roman"/>
          <w:b w:val="1"/>
          <w:bCs w:val="1"/>
          <w:i w:val="1"/>
          <w:iCs w:val="1"/>
          <w:rtl w:val="0"/>
          <w:lang w:val="it-IT"/>
        </w:rPr>
        <w:t xml:space="preserve">Fig. 6.8: ACMG/AMP Classification Panel </w:t>
      </w:r>
      <w:r>
        <w:rPr>
          <w:rFonts w:ascii="Times New Roman" w:hAnsi="Times New Roman" w:hint="default"/>
          <w:b w:val="1"/>
          <w:bCs w:val="1"/>
          <w:i w:val="1"/>
          <w:iCs w:val="1"/>
          <w:rtl w:val="0"/>
          <w:lang w:val="en-US"/>
        </w:rPr>
        <w:t xml:space="preserve">— </w:t>
      </w:r>
      <w:r>
        <w:rPr>
          <w:rFonts w:ascii="Times New Roman" w:hAnsi="Times New Roman"/>
          <w:b w:val="1"/>
          <w:bCs w:val="1"/>
          <w:i w:val="1"/>
          <w:iCs w:val="1"/>
          <w:rtl w:val="0"/>
          <w:lang w:val="en-US"/>
        </w:rPr>
        <w:t>Evidence Score +9 (Likely Pathogenic), PVS1 Very Strong (+8) and PP3 Supporting (+1) Criteria with LLM Clinical Interpretation</w:t>
      </w:r>
    </w:p>
    <w:p>
      <w:pPr>
        <w:pStyle w:val="Body"/>
        <w:jc w:val="center"/>
      </w:pPr>
      <w:r>
        <w:drawing xmlns:a="http://schemas.openxmlformats.org/drawingml/2006/main">
          <wp:inline distT="0" distB="0" distL="0" distR="0">
            <wp:extent cx="5303521" cy="2623965"/>
            <wp:effectExtent l="0" t="0" r="0" b="0"/>
            <wp:docPr id="1073741836" name="officeArt object" descr="Picture 12"/>
            <wp:cNvGraphicFramePr/>
            <a:graphic xmlns:a="http://schemas.openxmlformats.org/drawingml/2006/main">
              <a:graphicData uri="http://schemas.openxmlformats.org/drawingml/2006/picture">
                <pic:pic xmlns:pic="http://schemas.openxmlformats.org/drawingml/2006/picture">
                  <pic:nvPicPr>
                    <pic:cNvPr id="1073741836" name="Picture 12" descr="Picture 12"/>
                    <pic:cNvPicPr>
                      <a:picLocks noChangeAspect="1"/>
                    </pic:cNvPicPr>
                  </pic:nvPicPr>
                  <pic:blipFill>
                    <a:blip r:embed="rId19">
                      <a:extLst/>
                    </a:blip>
                    <a:stretch>
                      <a:fillRect/>
                    </a:stretch>
                  </pic:blipFill>
                  <pic:spPr>
                    <a:xfrm>
                      <a:off x="0" y="0"/>
                      <a:ext cx="5303521" cy="2623965"/>
                    </a:xfrm>
                    <a:prstGeom prst="rect">
                      <a:avLst/>
                    </a:prstGeom>
                    <a:ln w="12700" cap="flat">
                      <a:noFill/>
                      <a:miter lim="400000"/>
                    </a:ln>
                    <a:effectLst/>
                  </pic:spPr>
                </pic:pic>
              </a:graphicData>
            </a:graphic>
          </wp:inline>
        </w:drawing>
      </w:r>
    </w:p>
    <w:p>
      <w:pPr>
        <w:pStyle w:val="Body"/>
        <w:jc w:val="center"/>
      </w:pPr>
      <w:r>
        <w:rPr>
          <w:rFonts w:ascii="Times New Roman" w:hAnsi="Times New Roman"/>
          <w:b w:val="1"/>
          <w:bCs w:val="1"/>
          <w:i w:val="1"/>
          <w:iCs w:val="1"/>
          <w:rtl w:val="0"/>
          <w:lang w:val="en-US"/>
        </w:rPr>
        <w:t xml:space="preserve">Fig. 6.9: Diagnostic Results Tab </w:t>
      </w:r>
      <w:r>
        <w:rPr>
          <w:rFonts w:ascii="Times New Roman" w:hAnsi="Times New Roman" w:hint="default"/>
          <w:b w:val="1"/>
          <w:bCs w:val="1"/>
          <w:i w:val="1"/>
          <w:iCs w:val="1"/>
          <w:rtl w:val="0"/>
          <w:lang w:val="en-US"/>
        </w:rPr>
        <w:t xml:space="preserve">— </w:t>
      </w:r>
      <w:r>
        <w:rPr>
          <w:rFonts w:ascii="Times New Roman" w:hAnsi="Times New Roman"/>
          <w:b w:val="1"/>
          <w:bCs w:val="1"/>
          <w:i w:val="1"/>
          <w:iCs w:val="1"/>
          <w:rtl w:val="0"/>
          <w:lang w:val="en-US"/>
        </w:rPr>
        <w:t>Variant Interpretation (Likely Pathogenic), Contradictory Evidence Analysis and Why This Variant Matters Clinically</w:t>
      </w:r>
    </w:p>
    <w:p>
      <w:pPr>
        <w:pStyle w:val="Body"/>
      </w:pPr>
      <w:r>
        <w:rPr>
          <w:rFonts w:ascii="Arial Unicode MS" w:cs="Arial Unicode MS" w:hAnsi="Arial Unicode MS" w:eastAsia="Arial Unicode MS"/>
          <w:b w:val="0"/>
          <w:bCs w:val="0"/>
          <w:i w:val="0"/>
          <w:iCs w:val="0"/>
        </w:rPr>
        <w:br w:type="page"/>
      </w:r>
    </w:p>
    <w:p>
      <w:pPr>
        <w:pStyle w:val="Body"/>
        <w:jc w:val="center"/>
      </w:pPr>
      <w:r>
        <w:drawing xmlns:a="http://schemas.openxmlformats.org/drawingml/2006/main">
          <wp:inline distT="0" distB="0" distL="0" distR="0">
            <wp:extent cx="5303521" cy="2623965"/>
            <wp:effectExtent l="0" t="0" r="0" b="0"/>
            <wp:docPr id="1073741837" name="officeArt object" descr="Picture 13"/>
            <wp:cNvGraphicFramePr/>
            <a:graphic xmlns:a="http://schemas.openxmlformats.org/drawingml/2006/main">
              <a:graphicData uri="http://schemas.openxmlformats.org/drawingml/2006/picture">
                <pic:pic xmlns:pic="http://schemas.openxmlformats.org/drawingml/2006/picture">
                  <pic:nvPicPr>
                    <pic:cNvPr id="1073741837" name="Picture 13" descr="Picture 13"/>
                    <pic:cNvPicPr>
                      <a:picLocks noChangeAspect="1"/>
                    </pic:cNvPicPr>
                  </pic:nvPicPr>
                  <pic:blipFill>
                    <a:blip r:embed="rId20">
                      <a:extLst/>
                    </a:blip>
                    <a:stretch>
                      <a:fillRect/>
                    </a:stretch>
                  </pic:blipFill>
                  <pic:spPr>
                    <a:xfrm>
                      <a:off x="0" y="0"/>
                      <a:ext cx="5303521" cy="2623965"/>
                    </a:xfrm>
                    <a:prstGeom prst="rect">
                      <a:avLst/>
                    </a:prstGeom>
                    <a:ln w="12700" cap="flat">
                      <a:noFill/>
                      <a:miter lim="400000"/>
                    </a:ln>
                    <a:effectLst/>
                  </pic:spPr>
                </pic:pic>
              </a:graphicData>
            </a:graphic>
          </wp:inline>
        </w:drawing>
      </w:r>
    </w:p>
    <w:p>
      <w:pPr>
        <w:pStyle w:val="Body"/>
        <w:jc w:val="center"/>
      </w:pPr>
      <w:r>
        <w:rPr>
          <w:rFonts w:ascii="Times New Roman" w:hAnsi="Times New Roman"/>
          <w:b w:val="1"/>
          <w:bCs w:val="1"/>
          <w:i w:val="1"/>
          <w:iCs w:val="1"/>
          <w:rtl w:val="0"/>
          <w:lang w:val="en-US"/>
        </w:rPr>
        <w:t xml:space="preserve">Fig. 6.10: RAG-Powered Follow-up Chat </w:t>
      </w:r>
      <w:r>
        <w:rPr>
          <w:rFonts w:ascii="Times New Roman" w:hAnsi="Times New Roman" w:hint="default"/>
          <w:b w:val="1"/>
          <w:bCs w:val="1"/>
          <w:i w:val="1"/>
          <w:iCs w:val="1"/>
          <w:rtl w:val="0"/>
          <w:lang w:val="en-US"/>
        </w:rPr>
        <w:t xml:space="preserve">— </w:t>
      </w:r>
      <w:r>
        <w:rPr>
          <w:rFonts w:ascii="Times New Roman" w:hAnsi="Times New Roman"/>
          <w:b w:val="1"/>
          <w:bCs w:val="1"/>
          <w:i w:val="1"/>
          <w:iCs w:val="1"/>
          <w:rtl w:val="0"/>
          <w:lang w:val="en-US"/>
        </w:rPr>
        <w:t>Contraindicated Medications, Additional Considerations and Clinician Query on Sodium Channel Blocker Contraindication with LLM Response</w:t>
      </w:r>
    </w:p>
    <w:p>
      <w:pPr>
        <w:pStyle w:val="Body"/>
      </w:pPr>
      <w:r>
        <w:rPr>
          <w:rFonts w:ascii="Arial Unicode MS" w:cs="Arial Unicode MS" w:hAnsi="Arial Unicode MS" w:eastAsia="Arial Unicode MS"/>
          <w:b w:val="0"/>
          <w:bCs w:val="0"/>
          <w:i w:val="0"/>
          <w:iCs w:val="0"/>
        </w:rPr>
        <w:br w:type="page"/>
      </w:r>
    </w:p>
    <w:p>
      <w:pPr>
        <w:pStyle w:val="Body"/>
        <w:spacing w:before="360" w:after="0"/>
        <w:jc w:val="right"/>
      </w:pPr>
      <w:r>
        <w:rPr>
          <w:rFonts w:ascii="Times New Roman" w:hAnsi="Times New Roman"/>
          <w:b w:val="1"/>
          <w:bCs w:val="1"/>
          <w:i w:val="1"/>
          <w:iCs w:val="1"/>
          <w:sz w:val="28"/>
          <w:szCs w:val="28"/>
          <w:rtl w:val="0"/>
          <w:lang w:val="nl-NL"/>
        </w:rPr>
        <w:t>Chapter 7</w:t>
      </w:r>
    </w:p>
    <w:p>
      <w:pPr>
        <w:pStyle w:val="Body"/>
        <w:pBdr>
          <w:top w:val="nil"/>
          <w:left w:val="nil"/>
          <w:bottom w:val="single" w:color="aaaaaa" w:sz="6" w:space="0" w:shadow="0" w:frame="0"/>
          <w:right w:val="nil"/>
        </w:pBdr>
        <w:spacing w:before="40" w:after="280"/>
        <w:jc w:val="right"/>
      </w:pPr>
      <w:r>
        <w:rPr>
          <w:rFonts w:ascii="Times New Roman" w:hAnsi="Times New Roman"/>
          <w:b w:val="1"/>
          <w:bCs w:val="1"/>
          <w:sz w:val="28"/>
          <w:szCs w:val="28"/>
          <w:rtl w:val="0"/>
          <w:lang w:val="en-US"/>
        </w:rPr>
        <w:t>TESTING AND RESULTS</w:t>
      </w:r>
    </w:p>
    <w:p>
      <w:pPr>
        <w:pStyle w:val="Body"/>
        <w:spacing w:before="240" w:after="120"/>
      </w:pPr>
      <w:r>
        <w:rPr>
          <w:rFonts w:ascii="Times New Roman" w:hAnsi="Times New Roman"/>
          <w:b w:val="1"/>
          <w:bCs w:val="1"/>
          <w:sz w:val="24"/>
          <w:szCs w:val="24"/>
          <w:rtl w:val="0"/>
          <w:lang w:val="en-US"/>
        </w:rPr>
        <w:t>7.1 Testing Methodology</w:t>
      </w:r>
    </w:p>
    <w:p>
      <w:pPr>
        <w:pStyle w:val="Body"/>
        <w:spacing w:after="120" w:line="360" w:lineRule="auto"/>
        <w:jc w:val="both"/>
      </w:pPr>
      <w:r>
        <w:rPr>
          <w:rFonts w:ascii="Times New Roman" w:hAnsi="Times New Roman"/>
          <w:sz w:val="24"/>
          <w:szCs w:val="24"/>
          <w:rtl w:val="0"/>
          <w:lang w:val="en-US"/>
        </w:rPr>
        <w:t>A comprehensive testing strategy was designed to validate all aspects of the system prior to deployment. The strategy follows a bottom-up testing approach, beginning with unit tests on individual modules, progressing to integration tests that verify inter-module data flow, and culminating in smoke and performance tests that validate the deployed API.</w:t>
      </w:r>
    </w:p>
    <w:p>
      <w:pPr>
        <w:pStyle w:val="Body"/>
        <w:spacing w:after="120" w:line="360" w:lineRule="auto"/>
        <w:jc w:val="both"/>
      </w:pPr>
      <w:r>
        <w:rPr>
          <w:rFonts w:ascii="Times New Roman" w:hAnsi="Times New Roman"/>
          <w:sz w:val="24"/>
          <w:szCs w:val="24"/>
          <w:rtl w:val="0"/>
          <w:lang w:val="en-US"/>
        </w:rPr>
        <w:t>All tests are implemented using the pytest 9.0.3 framework and the requests library. The test suite is organised into five files in the tests/ directory: test_smoke.py, test_unit.py, test_integration.py, test_regression.py, and test_performance.py. A conftest.py automatically detects backend availability and skips API-dependent tests if the backend is not running.</w:t>
      </w:r>
    </w:p>
    <w:p>
      <w:pPr>
        <w:pStyle w:val="Body"/>
        <w:spacing w:before="240" w:after="120"/>
      </w:pPr>
      <w:r>
        <w:rPr>
          <w:rFonts w:ascii="Times New Roman" w:hAnsi="Times New Roman"/>
          <w:b w:val="1"/>
          <w:bCs w:val="1"/>
          <w:sz w:val="24"/>
          <w:szCs w:val="24"/>
          <w:rtl w:val="0"/>
          <w:lang w:val="fr-FR"/>
        </w:rPr>
        <w:t>7.2 Test Fixtures</w:t>
      </w:r>
    </w:p>
    <w:p>
      <w:pPr>
        <w:pStyle w:val="Body"/>
        <w:spacing w:after="120" w:line="36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Five clinically representative variant fixtures are used across all test suites:</w:t>
      </w:r>
    </w:p>
    <w:p>
      <w:pPr>
        <w:pStyle w:val="Body"/>
        <w:spacing w:after="120" w:line="360" w:lineRule="auto"/>
        <w:jc w:val="center"/>
        <w:rPr>
          <w:rFonts w:ascii="Cambria Bold" w:cs="Cambria Bold" w:hAnsi="Cambria Bold" w:eastAsia="Cambria Bold"/>
        </w:rPr>
      </w:pPr>
      <w:r>
        <w:rPr>
          <w:rFonts w:ascii="Times New Roman" w:hAnsi="Times New Roman"/>
          <w:b w:val="1"/>
          <w:bCs w:val="1"/>
          <w:sz w:val="24"/>
          <w:szCs w:val="24"/>
          <w:rtl w:val="0"/>
          <w:lang w:val="en-US"/>
        </w:rPr>
        <w:t>Table 7.1:</w:t>
      </w:r>
      <w:r>
        <w:rPr>
          <w:rFonts w:ascii="Times New Roman" w:hAnsi="Times New Roman"/>
          <w:b w:val="1"/>
          <w:bCs w:val="1"/>
          <w:sz w:val="24"/>
          <w:szCs w:val="24"/>
          <w:rtl w:val="0"/>
          <w:lang w:val="en-US"/>
        </w:rPr>
        <w:t>Test Fixtures Used Across All Suites</w:t>
      </w:r>
    </w:p>
    <w:tbl>
      <w:tblPr>
        <w:tblW w:w="879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58"/>
        <w:gridCol w:w="1758"/>
        <w:gridCol w:w="1758"/>
        <w:gridCol w:w="1758"/>
        <w:gridCol w:w="1758"/>
      </w:tblGrid>
      <w:tr>
        <w:tblPrEx>
          <w:shd w:val="clear" w:color="auto" w:fill="ced7e7"/>
        </w:tblPrEx>
        <w:trPr>
          <w:trHeight w:val="222" w:hRule="atLeast"/>
        </w:trPr>
        <w:tc>
          <w:tcPr>
            <w:tcW w:type="dxa" w:w="17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b w:val="1"/>
                <w:bCs w:val="1"/>
                <w:sz w:val="20"/>
                <w:szCs w:val="20"/>
                <w:shd w:val="nil" w:color="auto" w:fill="auto"/>
                <w:rtl w:val="0"/>
                <w:lang w:val="en-US"/>
              </w:rPr>
              <w:t>Fixture</w:t>
            </w:r>
          </w:p>
        </w:tc>
        <w:tc>
          <w:tcPr>
            <w:tcW w:type="dxa" w:w="17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b w:val="1"/>
                <w:bCs w:val="1"/>
                <w:sz w:val="20"/>
                <w:szCs w:val="20"/>
                <w:shd w:val="nil" w:color="auto" w:fill="auto"/>
                <w:rtl w:val="0"/>
                <w:lang w:val="en-US"/>
              </w:rPr>
              <w:t>Gene</w:t>
            </w:r>
          </w:p>
        </w:tc>
        <w:tc>
          <w:tcPr>
            <w:tcW w:type="dxa" w:w="17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b w:val="1"/>
                <w:bCs w:val="1"/>
                <w:sz w:val="20"/>
                <w:szCs w:val="20"/>
                <w:shd w:val="nil" w:color="auto" w:fill="auto"/>
                <w:rtl w:val="0"/>
                <w:lang w:val="en-US"/>
              </w:rPr>
              <w:t>Consequence</w:t>
            </w:r>
          </w:p>
        </w:tc>
        <w:tc>
          <w:tcPr>
            <w:tcW w:type="dxa" w:w="17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b w:val="1"/>
                <w:bCs w:val="1"/>
                <w:sz w:val="20"/>
                <w:szCs w:val="20"/>
                <w:shd w:val="nil" w:color="auto" w:fill="auto"/>
                <w:rtl w:val="0"/>
                <w:lang w:val="en-US"/>
              </w:rPr>
              <w:t>Origin</w:t>
            </w:r>
          </w:p>
        </w:tc>
        <w:tc>
          <w:tcPr>
            <w:tcW w:type="dxa" w:w="17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b w:val="1"/>
                <w:bCs w:val="1"/>
                <w:sz w:val="20"/>
                <w:szCs w:val="20"/>
                <w:shd w:val="nil" w:color="auto" w:fill="auto"/>
                <w:rtl w:val="0"/>
                <w:lang w:val="en-US"/>
              </w:rPr>
              <w:t>Expected</w:t>
            </w:r>
          </w:p>
        </w:tc>
      </w:tr>
      <w:tr>
        <w:tblPrEx>
          <w:shd w:val="clear" w:color="auto" w:fill="ced7e7"/>
        </w:tblPrEx>
        <w:trPr>
          <w:trHeight w:val="442" w:hRule="atLeast"/>
        </w:trPr>
        <w:tc>
          <w:tcPr>
            <w:tcW w:type="dxa" w:w="17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PATHOGENIC_VARIANT</w:t>
            </w:r>
          </w:p>
        </w:tc>
        <w:tc>
          <w:tcPr>
            <w:tcW w:type="dxa" w:w="17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SCN1A</w:t>
            </w:r>
          </w:p>
        </w:tc>
        <w:tc>
          <w:tcPr>
            <w:tcW w:type="dxa" w:w="17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stop_gained</w:t>
            </w:r>
          </w:p>
        </w:tc>
        <w:tc>
          <w:tcPr>
            <w:tcW w:type="dxa" w:w="17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germline</w:t>
            </w:r>
          </w:p>
        </w:tc>
        <w:tc>
          <w:tcPr>
            <w:tcW w:type="dxa" w:w="17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Pathogenic</w:t>
            </w:r>
          </w:p>
        </w:tc>
      </w:tr>
      <w:tr>
        <w:tblPrEx>
          <w:shd w:val="clear" w:color="auto" w:fill="ced7e7"/>
        </w:tblPrEx>
        <w:trPr>
          <w:trHeight w:val="442" w:hRule="atLeast"/>
        </w:trPr>
        <w:tc>
          <w:tcPr>
            <w:tcW w:type="dxa" w:w="17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BENIGN_VARIANT</w:t>
            </w:r>
          </w:p>
        </w:tc>
        <w:tc>
          <w:tcPr>
            <w:tcW w:type="dxa" w:w="17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SLC2A1</w:t>
            </w:r>
          </w:p>
        </w:tc>
        <w:tc>
          <w:tcPr>
            <w:tcW w:type="dxa" w:w="17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synonymous_variant</w:t>
            </w:r>
          </w:p>
        </w:tc>
        <w:tc>
          <w:tcPr>
            <w:tcW w:type="dxa" w:w="17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germline</w:t>
            </w:r>
          </w:p>
        </w:tc>
        <w:tc>
          <w:tcPr>
            <w:tcW w:type="dxa" w:w="17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Benign</w:t>
            </w:r>
          </w:p>
        </w:tc>
      </w:tr>
      <w:tr>
        <w:tblPrEx>
          <w:shd w:val="clear" w:color="auto" w:fill="ced7e7"/>
        </w:tblPrEx>
        <w:trPr>
          <w:trHeight w:val="442" w:hRule="atLeast"/>
        </w:trPr>
        <w:tc>
          <w:tcPr>
            <w:tcW w:type="dxa" w:w="17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UNCERTAIN_VARIANT</w:t>
            </w:r>
          </w:p>
        </w:tc>
        <w:tc>
          <w:tcPr>
            <w:tcW w:type="dxa" w:w="17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GABRA1</w:t>
            </w:r>
          </w:p>
        </w:tc>
        <w:tc>
          <w:tcPr>
            <w:tcW w:type="dxa" w:w="17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missense_variant</w:t>
            </w:r>
          </w:p>
        </w:tc>
        <w:tc>
          <w:tcPr>
            <w:tcW w:type="dxa" w:w="17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germline</w:t>
            </w:r>
          </w:p>
        </w:tc>
        <w:tc>
          <w:tcPr>
            <w:tcW w:type="dxa" w:w="17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VUS</w:t>
            </w:r>
          </w:p>
        </w:tc>
      </w:tr>
      <w:tr>
        <w:tblPrEx>
          <w:shd w:val="clear" w:color="auto" w:fill="ced7e7"/>
        </w:tblPrEx>
        <w:trPr>
          <w:trHeight w:val="442" w:hRule="atLeast"/>
        </w:trPr>
        <w:tc>
          <w:tcPr>
            <w:tcW w:type="dxa" w:w="17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DE_NOVO_VARIANT</w:t>
            </w:r>
          </w:p>
        </w:tc>
        <w:tc>
          <w:tcPr>
            <w:tcW w:type="dxa" w:w="17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KCNQ2</w:t>
            </w:r>
          </w:p>
        </w:tc>
        <w:tc>
          <w:tcPr>
            <w:tcW w:type="dxa" w:w="17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stop_gained</w:t>
            </w:r>
          </w:p>
        </w:tc>
        <w:tc>
          <w:tcPr>
            <w:tcW w:type="dxa" w:w="17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de novo (confirmed)</w:t>
            </w:r>
          </w:p>
        </w:tc>
        <w:tc>
          <w:tcPr>
            <w:tcW w:type="dxa" w:w="17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Pathogenic</w:t>
            </w:r>
          </w:p>
        </w:tc>
      </w:tr>
      <w:tr>
        <w:tblPrEx>
          <w:shd w:val="clear" w:color="auto" w:fill="ced7e7"/>
        </w:tblPrEx>
        <w:trPr>
          <w:trHeight w:val="442" w:hRule="atLeast"/>
        </w:trPr>
        <w:tc>
          <w:tcPr>
            <w:tcW w:type="dxa" w:w="17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FRAMESHIFT_VARIANT</w:t>
            </w:r>
          </w:p>
        </w:tc>
        <w:tc>
          <w:tcPr>
            <w:tcW w:type="dxa" w:w="17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TSC2</w:t>
            </w:r>
          </w:p>
        </w:tc>
        <w:tc>
          <w:tcPr>
            <w:tcW w:type="dxa" w:w="17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frameshift_variant</w:t>
            </w:r>
          </w:p>
        </w:tc>
        <w:tc>
          <w:tcPr>
            <w:tcW w:type="dxa" w:w="17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germline</w:t>
            </w:r>
          </w:p>
        </w:tc>
        <w:tc>
          <w:tcPr>
            <w:tcW w:type="dxa" w:w="17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20"/>
                <w:szCs w:val="20"/>
                <w:shd w:val="nil" w:color="auto" w:fill="auto"/>
                <w:rtl w:val="0"/>
                <w:lang w:val="en-US"/>
              </w:rPr>
              <w:t>Pathogenic</w:t>
            </w:r>
          </w:p>
        </w:tc>
      </w:tr>
    </w:tbl>
    <w:p>
      <w:pPr>
        <w:pStyle w:val="Body"/>
        <w:widowControl w:val="0"/>
        <w:spacing w:after="120" w:line="240" w:lineRule="auto"/>
        <w:jc w:val="center"/>
      </w:pPr>
    </w:p>
    <w:p>
      <w:pPr>
        <w:pStyle w:val="Body"/>
        <w:spacing w:before="240" w:after="120"/>
      </w:pPr>
      <w:r>
        <w:rPr>
          <w:rFonts w:ascii="Times New Roman" w:hAnsi="Times New Roman"/>
          <w:b w:val="1"/>
          <w:bCs w:val="1"/>
          <w:sz w:val="24"/>
          <w:szCs w:val="24"/>
          <w:rtl w:val="0"/>
          <w:lang w:val="en-US"/>
        </w:rPr>
        <w:t xml:space="preserve">7.3 Smoke Tests </w:t>
      </w:r>
      <w:r>
        <w:rPr>
          <w:rFonts w:ascii="Times New Roman" w:hAnsi="Times New Roman" w:hint="default"/>
          <w:b w:val="1"/>
          <w:bCs w:val="1"/>
          <w:sz w:val="24"/>
          <w:szCs w:val="24"/>
          <w:rtl w:val="0"/>
          <w:lang w:val="en-US"/>
        </w:rPr>
        <w:t xml:space="preserve">— </w:t>
      </w:r>
      <w:r>
        <w:rPr>
          <w:rFonts w:ascii="Times New Roman" w:hAnsi="Times New Roman"/>
          <w:b w:val="1"/>
          <w:bCs w:val="1"/>
          <w:sz w:val="24"/>
          <w:szCs w:val="24"/>
          <w:rtl w:val="0"/>
          <w:lang w:val="en-US"/>
        </w:rPr>
        <w:t>Results</w:t>
      </w:r>
    </w:p>
    <w:p>
      <w:pPr>
        <w:pStyle w:val="Body"/>
        <w:spacing w:after="120" w:line="360" w:lineRule="auto"/>
        <w:jc w:val="both"/>
      </w:pPr>
      <w:r>
        <w:rPr>
          <w:rFonts w:ascii="Times New Roman" w:hAnsi="Times New Roman"/>
          <w:sz w:val="24"/>
          <w:szCs w:val="24"/>
          <w:rtl w:val="0"/>
          <w:lang w:val="en-US"/>
        </w:rPr>
        <w:t>19 smoke tests were executed. All 19 passed (100% pass rate). Runtime: 6.78 seconds.</w:t>
      </w:r>
    </w:p>
    <w:p>
      <w:pPr>
        <w:pStyle w:val="Body"/>
        <w:spacing w:after="120" w:line="36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Key verifications: /health returns status=ok, model_loaded=True, rag_loaded=True; /predict_variant correctly classifies the PATHOGENIC_VARIANT as Pathogenic and BENIGN_VARIANT as Benign; all endpoints return HTTP 200; invalid input returns HTTP 422.</w:t>
      </w:r>
    </w:p>
    <w:p>
      <w:pPr>
        <w:pStyle w:val="Body"/>
        <w:spacing w:after="120" w:line="360" w:lineRule="auto"/>
        <w:jc w:val="both"/>
      </w:pPr>
    </w:p>
    <w:p>
      <w:pPr>
        <w:pStyle w:val="Body"/>
        <w:spacing w:before="240" w:after="120"/>
      </w:pPr>
      <w:r>
        <w:rPr>
          <w:rFonts w:ascii="Times New Roman" w:hAnsi="Times New Roman"/>
          <w:b w:val="1"/>
          <w:bCs w:val="1"/>
          <w:sz w:val="24"/>
          <w:szCs w:val="24"/>
          <w:rtl w:val="0"/>
          <w:lang w:val="en-US"/>
        </w:rPr>
        <w:t xml:space="preserve">7.4 Unit Tests </w:t>
      </w:r>
      <w:r>
        <w:rPr>
          <w:rFonts w:ascii="Times New Roman" w:hAnsi="Times New Roman" w:hint="default"/>
          <w:b w:val="1"/>
          <w:bCs w:val="1"/>
          <w:sz w:val="24"/>
          <w:szCs w:val="24"/>
          <w:rtl w:val="0"/>
          <w:lang w:val="en-US"/>
        </w:rPr>
        <w:t xml:space="preserve">— </w:t>
      </w:r>
      <w:r>
        <w:rPr>
          <w:rFonts w:ascii="Times New Roman" w:hAnsi="Times New Roman"/>
          <w:b w:val="1"/>
          <w:bCs w:val="1"/>
          <w:sz w:val="24"/>
          <w:szCs w:val="24"/>
          <w:rtl w:val="0"/>
          <w:lang w:val="en-US"/>
        </w:rPr>
        <w:t>Results</w:t>
      </w:r>
    </w:p>
    <w:p>
      <w:pPr>
        <w:pStyle w:val="Body"/>
        <w:spacing w:after="120" w:line="360" w:lineRule="auto"/>
        <w:jc w:val="both"/>
      </w:pPr>
      <w:r>
        <w:rPr>
          <w:rFonts w:ascii="Times New Roman" w:hAnsi="Times New Roman"/>
          <w:sz w:val="24"/>
          <w:szCs w:val="24"/>
          <w:rtl w:val="0"/>
          <w:lang w:val="en-US"/>
        </w:rPr>
        <w:t>86 unit tests were executed against the ACMGClassifier, ConfidenceResolver, and ContradictionDetector modules in isolation (no backend required). All 86 passed (100% pass rate). Runtime: 0.42 seconds.</w:t>
      </w:r>
    </w:p>
    <w:p>
      <w:pPr>
        <w:pStyle w:val="Body"/>
        <w:spacing w:after="120" w:line="360" w:lineRule="auto"/>
        <w:jc w:val="both"/>
      </w:pPr>
      <w:r>
        <w:rPr>
          <w:rFonts w:ascii="Times New Roman" w:hAnsi="Times New Roman"/>
          <w:sz w:val="24"/>
          <w:szCs w:val="24"/>
          <w:rtl w:val="0"/>
          <w:lang w:val="en-US"/>
        </w:rPr>
        <w:t xml:space="preserve">Key verifications: PVS1 fires for stop_gained in all LOF genes; PVS1 does not fire for GOF genes (SCN2A, SCN8A, SCN9A); PS2 fires for confirmed de novo, PM6 for assumed de novo (mutually exclusive); BA1 alone overrides to Benign classification; score arithmetic verified </w:t>
      </w:r>
      <w:r>
        <w:rPr>
          <w:rFonts w:ascii="Times New Roman" w:hAnsi="Times New Roman" w:hint="default"/>
          <w:sz w:val="24"/>
          <w:szCs w:val="24"/>
          <w:rtl w:val="0"/>
          <w:lang w:val="en-US"/>
        </w:rPr>
        <w:t xml:space="preserve">— </w:t>
      </w:r>
      <w:r>
        <w:rPr>
          <w:rFonts w:ascii="Times New Roman" w:hAnsi="Times New Roman"/>
          <w:sz w:val="24"/>
          <w:szCs w:val="24"/>
          <w:rtl w:val="0"/>
          <w:lang w:val="en-US"/>
        </w:rPr>
        <w:t>PVS1=+8, PS2=+4, PM6=+2, BP7=-1; all 6 confidence zones classified correctly; 10 contradiction scenarios detected.</w:t>
      </w:r>
    </w:p>
    <w:p>
      <w:pPr>
        <w:pStyle w:val="Body"/>
        <w:spacing w:before="240" w:after="120"/>
      </w:pPr>
      <w:r>
        <w:rPr>
          <w:rFonts w:ascii="Times New Roman" w:hAnsi="Times New Roman"/>
          <w:b w:val="1"/>
          <w:bCs w:val="1"/>
          <w:sz w:val="24"/>
          <w:szCs w:val="24"/>
          <w:rtl w:val="0"/>
          <w:lang w:val="en-US"/>
        </w:rPr>
        <w:t xml:space="preserve">7.5 Integration Tests </w:t>
      </w:r>
      <w:r>
        <w:rPr>
          <w:rFonts w:ascii="Times New Roman" w:hAnsi="Times New Roman" w:hint="default"/>
          <w:b w:val="1"/>
          <w:bCs w:val="1"/>
          <w:sz w:val="24"/>
          <w:szCs w:val="24"/>
          <w:rtl w:val="0"/>
          <w:lang w:val="en-US"/>
        </w:rPr>
        <w:t xml:space="preserve">— </w:t>
      </w:r>
      <w:r>
        <w:rPr>
          <w:rFonts w:ascii="Times New Roman" w:hAnsi="Times New Roman"/>
          <w:b w:val="1"/>
          <w:bCs w:val="1"/>
          <w:sz w:val="24"/>
          <w:szCs w:val="24"/>
          <w:rtl w:val="0"/>
          <w:lang w:val="en-US"/>
        </w:rPr>
        <w:t>Results</w:t>
      </w:r>
    </w:p>
    <w:p>
      <w:pPr>
        <w:pStyle w:val="Body"/>
        <w:spacing w:after="120" w:line="360" w:lineRule="auto"/>
        <w:jc w:val="both"/>
      </w:pPr>
      <w:r>
        <w:rPr>
          <w:rFonts w:ascii="Times New Roman" w:hAnsi="Times New Roman"/>
          <w:sz w:val="24"/>
          <w:szCs w:val="24"/>
          <w:rtl w:val="0"/>
          <w:lang w:val="en-US"/>
        </w:rPr>
        <w:t>34 integration tests verified end-to-end data flow between pipeline layers. All 34 passed (100% pass rate). Runtime: 4.05 seconds.</w:t>
      </w:r>
    </w:p>
    <w:p>
      <w:pPr>
        <w:pStyle w:val="Body"/>
        <w:spacing w:after="120" w:line="360" w:lineRule="auto"/>
        <w:jc w:val="both"/>
      </w:pPr>
      <w:r>
        <w:rPr>
          <w:rFonts w:ascii="Times New Roman" w:hAnsi="Times New Roman"/>
          <w:sz w:val="24"/>
          <w:szCs w:val="24"/>
          <w:rtl w:val="0"/>
          <w:lang w:val="en-US"/>
        </w:rPr>
        <w:t>Key verifications: ACMG classification matches ML prediction direction for all 5 fixture variants; SHAP data propagates to ACMG PP3/BP4 criteria; PS2 and PVS1 co-fire correctly for the DE_NOVO_VARIANT; gnomAD frequency criteria (PM2/BA1/BS1) are evaluated in all full-path analyses; RAG explanation field is present and non-empty for pathogenic variants.</w:t>
      </w:r>
    </w:p>
    <w:p>
      <w:pPr>
        <w:pStyle w:val="Body"/>
        <w:spacing w:before="240" w:after="120"/>
      </w:pPr>
      <w:r>
        <w:rPr>
          <w:rFonts w:ascii="Times New Roman" w:hAnsi="Times New Roman"/>
          <w:b w:val="1"/>
          <w:bCs w:val="1"/>
          <w:sz w:val="24"/>
          <w:szCs w:val="24"/>
          <w:rtl w:val="0"/>
          <w:lang w:val="en-US"/>
        </w:rPr>
        <w:t xml:space="preserve">7.6 Regression Tests </w:t>
      </w:r>
      <w:r>
        <w:rPr>
          <w:rFonts w:ascii="Times New Roman" w:hAnsi="Times New Roman" w:hint="default"/>
          <w:b w:val="1"/>
          <w:bCs w:val="1"/>
          <w:sz w:val="24"/>
          <w:szCs w:val="24"/>
          <w:rtl w:val="0"/>
          <w:lang w:val="en-US"/>
        </w:rPr>
        <w:t xml:space="preserve">— </w:t>
      </w:r>
      <w:r>
        <w:rPr>
          <w:rFonts w:ascii="Times New Roman" w:hAnsi="Times New Roman"/>
          <w:b w:val="1"/>
          <w:bCs w:val="1"/>
          <w:sz w:val="24"/>
          <w:szCs w:val="24"/>
          <w:rtl w:val="0"/>
          <w:lang w:val="en-US"/>
        </w:rPr>
        <w:t>Results</w:t>
      </w:r>
    </w:p>
    <w:p>
      <w:pPr>
        <w:pStyle w:val="Body"/>
        <w:spacing w:after="120" w:line="360" w:lineRule="auto"/>
        <w:jc w:val="both"/>
      </w:pPr>
      <w:r>
        <w:rPr>
          <w:rFonts w:ascii="Times New Roman" w:hAnsi="Times New Roman"/>
          <w:sz w:val="24"/>
          <w:szCs w:val="24"/>
          <w:rtl w:val="0"/>
          <w:lang w:val="en-US"/>
        </w:rPr>
        <w:t>40 regression tests pin known-correct outputs to prevent silent breaking changes. All 40 passed (100% pass rate). Runtime: 0.42 seconds.</w:t>
      </w:r>
    </w:p>
    <w:p>
      <w:pPr>
        <w:pStyle w:val="Body"/>
        <w:spacing w:after="120" w:line="36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 xml:space="preserve">Key pins: SCN1A stop_gained </w:t>
      </w:r>
      <w:r>
        <w:rPr>
          <w:rFonts w:ascii="Times New Roman" w:hAnsi="Times New Roman" w:hint="default"/>
          <w:sz w:val="24"/>
          <w:szCs w:val="24"/>
          <w:rtl w:val="0"/>
          <w:lang w:val="en-US"/>
        </w:rPr>
        <w:t xml:space="preserve">→ </w:t>
      </w:r>
      <w:r>
        <w:rPr>
          <w:rFonts w:ascii="Times New Roman" w:hAnsi="Times New Roman"/>
          <w:sz w:val="24"/>
          <w:szCs w:val="24"/>
          <w:rtl w:val="0"/>
          <w:lang w:val="en-US"/>
        </w:rPr>
        <w:t xml:space="preserve">pathogenic_probability &gt; 0.90 (actual: 0.9949); SLC2A1 synonymous </w:t>
      </w:r>
      <w:r>
        <w:rPr>
          <w:rFonts w:ascii="Times New Roman" w:hAnsi="Times New Roman" w:hint="default"/>
          <w:sz w:val="24"/>
          <w:szCs w:val="24"/>
          <w:rtl w:val="0"/>
          <w:lang w:val="en-US"/>
        </w:rPr>
        <w:t xml:space="preserve">→ </w:t>
      </w:r>
      <w:r>
        <w:rPr>
          <w:rFonts w:ascii="Times New Roman" w:hAnsi="Times New Roman"/>
          <w:sz w:val="24"/>
          <w:szCs w:val="24"/>
          <w:rtl w:val="0"/>
          <w:lang w:val="en-US"/>
        </w:rPr>
        <w:t xml:space="preserve">benign_probability &gt; 0.70 (actual: 0.8289); PVS1+PS2+PM2 score = 14 </w:t>
      </w:r>
      <w:r>
        <w:rPr>
          <w:rFonts w:ascii="Times New Roman" w:hAnsi="Times New Roman" w:hint="default"/>
          <w:sz w:val="24"/>
          <w:szCs w:val="24"/>
          <w:rtl w:val="0"/>
          <w:lang w:val="en-US"/>
        </w:rPr>
        <w:t xml:space="preserve">→ </w:t>
      </w:r>
      <w:r>
        <w:rPr>
          <w:rFonts w:ascii="Times New Roman" w:hAnsi="Times New Roman"/>
          <w:sz w:val="24"/>
          <w:szCs w:val="24"/>
          <w:rtl w:val="0"/>
          <w:lang w:val="en-US"/>
        </w:rPr>
        <w:t>Pathogenic; all 24 LOF genes verified; all 3 GOF genes verified; UNCERTAIN_LOW=0.3, UNCERTAIN_HIGH=0.7 pinned; all 16 CRITERION_POINTS values pinned.</w:t>
      </w:r>
    </w:p>
    <w:p>
      <w:pPr>
        <w:pStyle w:val="Body"/>
        <w:spacing w:after="120" w:line="360" w:lineRule="auto"/>
        <w:jc w:val="both"/>
        <w:rPr>
          <w:rFonts w:ascii="Times New Roman" w:cs="Times New Roman" w:hAnsi="Times New Roman" w:eastAsia="Times New Roman"/>
          <w:sz w:val="24"/>
          <w:szCs w:val="24"/>
        </w:rPr>
      </w:pPr>
    </w:p>
    <w:p>
      <w:pPr>
        <w:pStyle w:val="Body"/>
        <w:spacing w:after="120" w:line="360" w:lineRule="auto"/>
        <w:jc w:val="both"/>
        <w:rPr>
          <w:rFonts w:ascii="Times New Roman" w:cs="Times New Roman" w:hAnsi="Times New Roman" w:eastAsia="Times New Roman"/>
          <w:sz w:val="24"/>
          <w:szCs w:val="24"/>
        </w:rPr>
      </w:pPr>
    </w:p>
    <w:p>
      <w:pPr>
        <w:pStyle w:val="Body"/>
        <w:spacing w:after="120" w:line="360" w:lineRule="auto"/>
        <w:jc w:val="both"/>
        <w:rPr>
          <w:rFonts w:ascii="Times New Roman" w:cs="Times New Roman" w:hAnsi="Times New Roman" w:eastAsia="Times New Roman"/>
          <w:sz w:val="24"/>
          <w:szCs w:val="24"/>
        </w:rPr>
      </w:pPr>
    </w:p>
    <w:p>
      <w:pPr>
        <w:pStyle w:val="Body"/>
        <w:spacing w:after="120" w:line="360" w:lineRule="auto"/>
        <w:jc w:val="both"/>
      </w:pPr>
    </w:p>
    <w:p>
      <w:pPr>
        <w:pStyle w:val="Body"/>
        <w:spacing w:before="240" w:after="120"/>
      </w:pPr>
      <w:r>
        <w:rPr>
          <w:rFonts w:ascii="Times New Roman" w:hAnsi="Times New Roman"/>
          <w:b w:val="1"/>
          <w:bCs w:val="1"/>
          <w:sz w:val="24"/>
          <w:szCs w:val="24"/>
          <w:rtl w:val="0"/>
          <w:lang w:val="en-US"/>
        </w:rPr>
        <w:t xml:space="preserve">7.7 Performance Tests </w:t>
      </w:r>
      <w:r>
        <w:rPr>
          <w:rFonts w:ascii="Times New Roman" w:hAnsi="Times New Roman" w:hint="default"/>
          <w:b w:val="1"/>
          <w:bCs w:val="1"/>
          <w:sz w:val="24"/>
          <w:szCs w:val="24"/>
          <w:rtl w:val="0"/>
          <w:lang w:val="en-US"/>
        </w:rPr>
        <w:t xml:space="preserve">— </w:t>
      </w:r>
      <w:r>
        <w:rPr>
          <w:rFonts w:ascii="Times New Roman" w:hAnsi="Times New Roman"/>
          <w:b w:val="1"/>
          <w:bCs w:val="1"/>
          <w:sz w:val="24"/>
          <w:szCs w:val="24"/>
          <w:rtl w:val="0"/>
          <w:lang w:val="en-US"/>
        </w:rPr>
        <w:t>Results</w:t>
      </w:r>
    </w:p>
    <w:p>
      <w:pPr>
        <w:pStyle w:val="Body"/>
        <w:spacing w:after="120" w:line="36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21 performance tests measured latency, throughput, concurrency, and stability. All 21 passed (100% pass rate). Runtime: 9.32 seconds.</w:t>
      </w:r>
    </w:p>
    <w:p>
      <w:pPr>
        <w:pStyle w:val="Body"/>
        <w:spacing w:after="120" w:line="360" w:lineRule="auto"/>
        <w:jc w:val="both"/>
      </w:pPr>
    </w:p>
    <w:p>
      <w:pPr>
        <w:pStyle w:val="Body"/>
        <w:jc w:val="center"/>
      </w:pPr>
      <w:r>
        <w:rPr>
          <w:rFonts w:ascii="Times New Roman" w:hAnsi="Times New Roman"/>
          <w:b w:val="1"/>
          <w:bCs w:val="1"/>
          <w:sz w:val="24"/>
          <w:szCs w:val="24"/>
          <w:rtl w:val="0"/>
          <w:lang w:val="pt-PT"/>
        </w:rPr>
        <w:t>Table 7.2: Performance SLA Compliance</w:t>
      </w:r>
    </w:p>
    <w:tbl>
      <w:tblPr>
        <w:tblW w:w="8788"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97"/>
        <w:gridCol w:w="2197"/>
        <w:gridCol w:w="2197"/>
        <w:gridCol w:w="2197"/>
      </w:tblGrid>
      <w:tr>
        <w:tblPrEx>
          <w:shd w:val="clear" w:color="auto" w:fill="ced7e7"/>
        </w:tblPrEx>
        <w:trPr>
          <w:trHeight w:val="241" w:hRule="atLeast"/>
        </w:trPr>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b w:val="1"/>
                <w:bCs w:val="1"/>
                <w:shd w:val="nil" w:color="auto" w:fill="auto"/>
                <w:rtl w:val="0"/>
                <w:lang w:val="en-US"/>
              </w:rPr>
              <w:t>Endpoint</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b w:val="1"/>
                <w:bCs w:val="1"/>
                <w:shd w:val="nil" w:color="auto" w:fill="auto"/>
                <w:rtl w:val="0"/>
                <w:lang w:val="en-US"/>
              </w:rPr>
              <w:t>SLA Limit</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b w:val="1"/>
                <w:bCs w:val="1"/>
                <w:shd w:val="nil" w:color="auto" w:fill="auto"/>
                <w:rtl w:val="0"/>
                <w:lang w:val="en-US"/>
              </w:rPr>
              <w:t>Measured</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b w:val="1"/>
                <w:bCs w:val="1"/>
                <w:shd w:val="nil" w:color="auto" w:fill="auto"/>
                <w:rtl w:val="0"/>
                <w:lang w:val="en-US"/>
              </w:rPr>
              <w:t>Status</w:t>
            </w:r>
          </w:p>
        </w:tc>
      </w:tr>
      <w:tr>
        <w:tblPrEx>
          <w:shd w:val="clear" w:color="auto" w:fill="ced7e7"/>
        </w:tblPrEx>
        <w:trPr>
          <w:trHeight w:val="241" w:hRule="atLeast"/>
        </w:trPr>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/health</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&lt; 500 ms</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2.0 ms</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PASS</w:t>
            </w:r>
          </w:p>
        </w:tc>
      </w:tr>
      <w:tr>
        <w:tblPrEx>
          <w:shd w:val="clear" w:color="auto" w:fill="ced7e7"/>
        </w:tblPrEx>
        <w:trPr>
          <w:trHeight w:val="241" w:hRule="atLeast"/>
        </w:trPr>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/predict_variant</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&lt; 2,000 ms</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29</w:t>
            </w:r>
            <w:r>
              <w:rPr>
                <w:rFonts w:ascii="Times New Roman" w:hAnsi="Times New Roman" w:hint="default"/>
                <w:shd w:val="nil" w:color="auto" w:fill="auto"/>
                <w:rtl w:val="0"/>
                <w:lang w:val="en-US"/>
              </w:rPr>
              <w:t>–</w:t>
            </w:r>
            <w:r>
              <w:rPr>
                <w:rFonts w:ascii="Times New Roman" w:hAnsi="Times New Roman"/>
                <w:shd w:val="nil" w:color="auto" w:fill="auto"/>
                <w:rtl w:val="0"/>
                <w:lang w:val="en-US"/>
              </w:rPr>
              <w:t>32 ms</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PASS</w:t>
            </w:r>
          </w:p>
        </w:tc>
      </w:tr>
      <w:tr>
        <w:tblPrEx>
          <w:shd w:val="clear" w:color="auto" w:fill="ced7e7"/>
        </w:tblPrEx>
        <w:trPr>
          <w:trHeight w:val="481" w:hRule="atLeast"/>
        </w:trPr>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/analyze_variant (full RAG)</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&lt; 30,000 ms</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230</w:t>
            </w:r>
            <w:r>
              <w:rPr>
                <w:rFonts w:ascii="Times New Roman" w:hAnsi="Times New Roman" w:hint="default"/>
                <w:shd w:val="nil" w:color="auto" w:fill="auto"/>
                <w:rtl w:val="0"/>
                <w:lang w:val="en-US"/>
              </w:rPr>
              <w:t>–</w:t>
            </w:r>
            <w:r>
              <w:rPr>
                <w:rFonts w:ascii="Times New Roman" w:hAnsi="Times New Roman"/>
                <w:shd w:val="nil" w:color="auto" w:fill="auto"/>
                <w:rtl w:val="0"/>
                <w:lang w:val="en-US"/>
              </w:rPr>
              <w:t>490 ms</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PASS</w:t>
            </w:r>
          </w:p>
        </w:tc>
      </w:tr>
      <w:tr>
        <w:tblPrEx>
          <w:shd w:val="clear" w:color="auto" w:fill="ced7e7"/>
        </w:tblPrEx>
        <w:trPr>
          <w:trHeight w:val="241" w:hRule="atLeast"/>
        </w:trPr>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/genes</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&lt; 500 ms</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2.2 ms</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PASS</w:t>
            </w:r>
          </w:p>
        </w:tc>
      </w:tr>
      <w:tr>
        <w:tblPrEx>
          <w:shd w:val="clear" w:color="auto" w:fill="ced7e7"/>
        </w:tblPrEx>
        <w:trPr>
          <w:trHeight w:val="241" w:hRule="atLeast"/>
        </w:trPr>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/consequences</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&lt; 500 ms</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1.8 ms</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PASS</w:t>
            </w:r>
          </w:p>
        </w:tc>
      </w:tr>
      <w:tr>
        <w:tblPrEx>
          <w:shd w:val="clear" w:color="auto" w:fill="ced7e7"/>
        </w:tblPrEx>
        <w:trPr>
          <w:trHeight w:val="241" w:hRule="atLeast"/>
        </w:trPr>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/literature/SCN1A</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&lt; 5,000 ms</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6</w:t>
            </w:r>
            <w:r>
              <w:rPr>
                <w:rFonts w:ascii="Times New Roman" w:hAnsi="Times New Roman" w:hint="default"/>
                <w:shd w:val="nil" w:color="auto" w:fill="auto"/>
                <w:rtl w:val="0"/>
                <w:lang w:val="en-US"/>
              </w:rPr>
              <w:t>–</w:t>
            </w:r>
            <w:r>
              <w:rPr>
                <w:rFonts w:ascii="Times New Roman" w:hAnsi="Times New Roman"/>
                <w:shd w:val="nil" w:color="auto" w:fill="auto"/>
                <w:rtl w:val="0"/>
                <w:lang w:val="en-US"/>
              </w:rPr>
              <w:t>10 ms</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PASS</w:t>
            </w:r>
          </w:p>
        </w:tc>
      </w:tr>
    </w:tbl>
    <w:p>
      <w:pPr>
        <w:pStyle w:val="Body"/>
        <w:widowControl w:val="0"/>
        <w:spacing w:line="240" w:lineRule="auto"/>
        <w:jc w:val="center"/>
      </w:pPr>
    </w:p>
    <w:p>
      <w:pPr>
        <w:pStyle w:val="Body"/>
        <w:spacing w:after="120" w:line="360" w:lineRule="auto"/>
        <w:jc w:val="both"/>
      </w:pPr>
      <w:r>
        <w:rPr>
          <w:rFonts w:ascii="Times New Roman" w:hAnsi="Times New Roman"/>
          <w:sz w:val="24"/>
          <w:szCs w:val="24"/>
          <w:rtl w:val="0"/>
          <w:lang w:val="en-US"/>
        </w:rPr>
        <w:t>Throughput: /predict_variant achieves 30</w:t>
      </w:r>
      <w:r>
        <w:rPr>
          <w:rFonts w:ascii="Times New Roman" w:hAnsi="Times New Roman" w:hint="default"/>
          <w:sz w:val="24"/>
          <w:szCs w:val="24"/>
          <w:rtl w:val="0"/>
          <w:lang w:val="en-US"/>
        </w:rPr>
        <w:t>–</w:t>
      </w:r>
      <w:r>
        <w:rPr>
          <w:rFonts w:ascii="Times New Roman" w:hAnsi="Times New Roman"/>
          <w:sz w:val="24"/>
          <w:szCs w:val="24"/>
          <w:rtl w:val="0"/>
          <w:lang w:val="en-US"/>
        </w:rPr>
        <w:t>34 req/s sequentially; /health achieves 642 req/s. Concurrency: 10 concurrent workers achieve 100% success rate (30/30 requests). Stress: 100 sequential calls produce consistent Pathogenic predictions with p99=28.9 ms. No response time degradation detected over 50 calls (last-10/first-10 ratio: 0.97</w:t>
      </w:r>
      <w:r>
        <w:rPr>
          <w:rFonts w:ascii="Times New Roman" w:hAnsi="Times New Roman" w:hint="default"/>
          <w:sz w:val="24"/>
          <w:szCs w:val="24"/>
          <w:rtl w:val="0"/>
          <w:lang w:val="en-US"/>
        </w:rPr>
        <w:t>×</w:t>
      </w:r>
      <w:r>
        <w:rPr>
          <w:rFonts w:ascii="Times New Roman" w:hAnsi="Times New Roman"/>
          <w:sz w:val="24"/>
          <w:szCs w:val="24"/>
          <w:rtl w:val="0"/>
        </w:rPr>
        <w:t>).</w:t>
      </w:r>
    </w:p>
    <w:p>
      <w:pPr>
        <w:pStyle w:val="Body"/>
        <w:spacing w:before="240" w:after="120"/>
      </w:pPr>
      <w:r>
        <w:rPr>
          <w:rFonts w:ascii="Times New Roman" w:hAnsi="Times New Roman"/>
          <w:b w:val="1"/>
          <w:bCs w:val="1"/>
          <w:sz w:val="24"/>
          <w:szCs w:val="24"/>
          <w:rtl w:val="0"/>
          <w:lang w:val="en-US"/>
        </w:rPr>
        <w:t>7.8 Overall Test Results Summary</w:t>
      </w:r>
    </w:p>
    <w:p>
      <w:pPr>
        <w:pStyle w:val="Body"/>
        <w:jc w:val="center"/>
      </w:pPr>
      <w:r>
        <w:rPr>
          <w:rFonts w:ascii="Times New Roman" w:hAnsi="Times New Roman"/>
          <w:b w:val="1"/>
          <w:bCs w:val="1"/>
          <w:sz w:val="24"/>
          <w:szCs w:val="24"/>
          <w:rtl w:val="0"/>
        </w:rPr>
        <w:t>Table 7.</w:t>
      </w:r>
      <w:r>
        <w:rPr>
          <w:rFonts w:ascii="Times New Roman" w:hAnsi="Times New Roman"/>
          <w:b w:val="1"/>
          <w:bCs w:val="1"/>
          <w:sz w:val="24"/>
          <w:szCs w:val="24"/>
          <w:rtl w:val="0"/>
          <w:lang w:val="en-US"/>
        </w:rPr>
        <w:t>3</w:t>
      </w:r>
      <w:r>
        <w:rPr>
          <w:rFonts w:ascii="Times New Roman" w:hAnsi="Times New Roman"/>
          <w:b w:val="1"/>
          <w:bCs w:val="1"/>
          <w:sz w:val="24"/>
          <w:szCs w:val="24"/>
          <w:rtl w:val="0"/>
          <w:lang w:val="en-US"/>
        </w:rPr>
        <w:t>: Overall Test Results Summary</w:t>
      </w:r>
    </w:p>
    <w:tbl>
      <w:tblPr>
        <w:tblW w:w="879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65"/>
        <w:gridCol w:w="1465"/>
        <w:gridCol w:w="1465"/>
        <w:gridCol w:w="1465"/>
        <w:gridCol w:w="1465"/>
        <w:gridCol w:w="1465"/>
      </w:tblGrid>
      <w:tr>
        <w:tblPrEx>
          <w:shd w:val="clear" w:color="auto" w:fill="ced7e7"/>
        </w:tblPrEx>
        <w:trPr>
          <w:trHeight w:val="241" w:hRule="atLeast"/>
        </w:trPr>
        <w:tc>
          <w:tcPr>
            <w:tcW w:type="dxa" w:w="1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b w:val="1"/>
                <w:bCs w:val="1"/>
                <w:shd w:val="nil" w:color="auto" w:fill="auto"/>
                <w:rtl w:val="0"/>
                <w:lang w:val="en-US"/>
              </w:rPr>
              <w:t>Suite</w:t>
            </w:r>
          </w:p>
        </w:tc>
        <w:tc>
          <w:tcPr>
            <w:tcW w:type="dxa" w:w="1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b w:val="1"/>
                <w:bCs w:val="1"/>
                <w:shd w:val="nil" w:color="auto" w:fill="auto"/>
                <w:rtl w:val="0"/>
                <w:lang w:val="en-US"/>
              </w:rPr>
              <w:t>Tests</w:t>
            </w:r>
          </w:p>
        </w:tc>
        <w:tc>
          <w:tcPr>
            <w:tcW w:type="dxa" w:w="1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b w:val="1"/>
                <w:bCs w:val="1"/>
                <w:shd w:val="nil" w:color="auto" w:fill="auto"/>
                <w:rtl w:val="0"/>
                <w:lang w:val="en-US"/>
              </w:rPr>
              <w:t>Passed</w:t>
            </w:r>
          </w:p>
        </w:tc>
        <w:tc>
          <w:tcPr>
            <w:tcW w:type="dxa" w:w="1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b w:val="1"/>
                <w:bCs w:val="1"/>
                <w:shd w:val="nil" w:color="auto" w:fill="auto"/>
                <w:rtl w:val="0"/>
                <w:lang w:val="en-US"/>
              </w:rPr>
              <w:t>Failed</w:t>
            </w:r>
          </w:p>
        </w:tc>
        <w:tc>
          <w:tcPr>
            <w:tcW w:type="dxa" w:w="1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b w:val="1"/>
                <w:bCs w:val="1"/>
                <w:shd w:val="nil" w:color="auto" w:fill="auto"/>
                <w:rtl w:val="0"/>
                <w:lang w:val="en-US"/>
              </w:rPr>
              <w:t>Pass Rate</w:t>
            </w:r>
          </w:p>
        </w:tc>
        <w:tc>
          <w:tcPr>
            <w:tcW w:type="dxa" w:w="1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b w:val="1"/>
                <w:bCs w:val="1"/>
                <w:shd w:val="nil" w:color="auto" w:fill="auto"/>
                <w:rtl w:val="0"/>
                <w:lang w:val="en-US"/>
              </w:rPr>
              <w:t>Runtime</w:t>
            </w:r>
          </w:p>
        </w:tc>
      </w:tr>
      <w:tr>
        <w:tblPrEx>
          <w:shd w:val="clear" w:color="auto" w:fill="ced7e7"/>
        </w:tblPrEx>
        <w:trPr>
          <w:trHeight w:val="241" w:hRule="atLeast"/>
        </w:trPr>
        <w:tc>
          <w:tcPr>
            <w:tcW w:type="dxa" w:w="1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Smoke Tests</w:t>
            </w:r>
          </w:p>
        </w:tc>
        <w:tc>
          <w:tcPr>
            <w:tcW w:type="dxa" w:w="1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19</w:t>
            </w:r>
          </w:p>
        </w:tc>
        <w:tc>
          <w:tcPr>
            <w:tcW w:type="dxa" w:w="1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19</w:t>
            </w:r>
          </w:p>
        </w:tc>
        <w:tc>
          <w:tcPr>
            <w:tcW w:type="dxa" w:w="1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0</w:t>
            </w:r>
          </w:p>
        </w:tc>
        <w:tc>
          <w:tcPr>
            <w:tcW w:type="dxa" w:w="1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100%</w:t>
            </w:r>
          </w:p>
        </w:tc>
        <w:tc>
          <w:tcPr>
            <w:tcW w:type="dxa" w:w="1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6.78s</w:t>
            </w:r>
          </w:p>
        </w:tc>
      </w:tr>
      <w:tr>
        <w:tblPrEx>
          <w:shd w:val="clear" w:color="auto" w:fill="ced7e7"/>
        </w:tblPrEx>
        <w:trPr>
          <w:trHeight w:val="241" w:hRule="atLeast"/>
        </w:trPr>
        <w:tc>
          <w:tcPr>
            <w:tcW w:type="dxa" w:w="1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Unit Tests</w:t>
            </w:r>
          </w:p>
        </w:tc>
        <w:tc>
          <w:tcPr>
            <w:tcW w:type="dxa" w:w="1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86</w:t>
            </w:r>
          </w:p>
        </w:tc>
        <w:tc>
          <w:tcPr>
            <w:tcW w:type="dxa" w:w="1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86</w:t>
            </w:r>
          </w:p>
        </w:tc>
        <w:tc>
          <w:tcPr>
            <w:tcW w:type="dxa" w:w="1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0</w:t>
            </w:r>
          </w:p>
        </w:tc>
        <w:tc>
          <w:tcPr>
            <w:tcW w:type="dxa" w:w="1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100%</w:t>
            </w:r>
          </w:p>
        </w:tc>
        <w:tc>
          <w:tcPr>
            <w:tcW w:type="dxa" w:w="1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0.42s</w:t>
            </w:r>
          </w:p>
        </w:tc>
      </w:tr>
      <w:tr>
        <w:tblPrEx>
          <w:shd w:val="clear" w:color="auto" w:fill="ced7e7"/>
        </w:tblPrEx>
        <w:trPr>
          <w:trHeight w:val="481" w:hRule="atLeast"/>
        </w:trPr>
        <w:tc>
          <w:tcPr>
            <w:tcW w:type="dxa" w:w="1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Integration Tests</w:t>
            </w:r>
          </w:p>
        </w:tc>
        <w:tc>
          <w:tcPr>
            <w:tcW w:type="dxa" w:w="1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34</w:t>
            </w:r>
          </w:p>
        </w:tc>
        <w:tc>
          <w:tcPr>
            <w:tcW w:type="dxa" w:w="1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34</w:t>
            </w:r>
          </w:p>
        </w:tc>
        <w:tc>
          <w:tcPr>
            <w:tcW w:type="dxa" w:w="1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0</w:t>
            </w:r>
          </w:p>
        </w:tc>
        <w:tc>
          <w:tcPr>
            <w:tcW w:type="dxa" w:w="1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100%</w:t>
            </w:r>
          </w:p>
        </w:tc>
        <w:tc>
          <w:tcPr>
            <w:tcW w:type="dxa" w:w="1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4.05s</w:t>
            </w:r>
          </w:p>
        </w:tc>
      </w:tr>
      <w:tr>
        <w:tblPrEx>
          <w:shd w:val="clear" w:color="auto" w:fill="ced7e7"/>
        </w:tblPrEx>
        <w:trPr>
          <w:trHeight w:val="481" w:hRule="atLeast"/>
        </w:trPr>
        <w:tc>
          <w:tcPr>
            <w:tcW w:type="dxa" w:w="1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Regression Tests</w:t>
            </w:r>
          </w:p>
        </w:tc>
        <w:tc>
          <w:tcPr>
            <w:tcW w:type="dxa" w:w="1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40</w:t>
            </w:r>
          </w:p>
        </w:tc>
        <w:tc>
          <w:tcPr>
            <w:tcW w:type="dxa" w:w="1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40</w:t>
            </w:r>
          </w:p>
        </w:tc>
        <w:tc>
          <w:tcPr>
            <w:tcW w:type="dxa" w:w="1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0</w:t>
            </w:r>
          </w:p>
        </w:tc>
        <w:tc>
          <w:tcPr>
            <w:tcW w:type="dxa" w:w="1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100%</w:t>
            </w:r>
          </w:p>
        </w:tc>
        <w:tc>
          <w:tcPr>
            <w:tcW w:type="dxa" w:w="1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0.42s</w:t>
            </w:r>
          </w:p>
        </w:tc>
      </w:tr>
      <w:tr>
        <w:tblPrEx>
          <w:shd w:val="clear" w:color="auto" w:fill="ced7e7"/>
        </w:tblPrEx>
        <w:trPr>
          <w:trHeight w:val="481" w:hRule="atLeast"/>
        </w:trPr>
        <w:tc>
          <w:tcPr>
            <w:tcW w:type="dxa" w:w="1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Performance Tests</w:t>
            </w:r>
          </w:p>
        </w:tc>
        <w:tc>
          <w:tcPr>
            <w:tcW w:type="dxa" w:w="1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21</w:t>
            </w:r>
          </w:p>
        </w:tc>
        <w:tc>
          <w:tcPr>
            <w:tcW w:type="dxa" w:w="1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21</w:t>
            </w:r>
          </w:p>
        </w:tc>
        <w:tc>
          <w:tcPr>
            <w:tcW w:type="dxa" w:w="1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0</w:t>
            </w:r>
          </w:p>
        </w:tc>
        <w:tc>
          <w:tcPr>
            <w:tcW w:type="dxa" w:w="1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100%</w:t>
            </w:r>
          </w:p>
        </w:tc>
        <w:tc>
          <w:tcPr>
            <w:tcW w:type="dxa" w:w="1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hd w:val="nil" w:color="auto" w:fill="auto"/>
                <w:rtl w:val="0"/>
                <w:lang w:val="en-US"/>
              </w:rPr>
              <w:t>9.32s</w:t>
            </w:r>
          </w:p>
        </w:tc>
      </w:tr>
      <w:tr>
        <w:tblPrEx>
          <w:shd w:val="clear" w:color="auto" w:fill="ced7e7"/>
        </w:tblPrEx>
        <w:trPr>
          <w:trHeight w:val="241" w:hRule="atLeast"/>
        </w:trPr>
        <w:tc>
          <w:tcPr>
            <w:tcW w:type="dxa" w:w="1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b w:val="1"/>
                <w:bCs w:val="1"/>
                <w:shd w:val="nil" w:color="auto" w:fill="auto"/>
                <w:rtl w:val="0"/>
                <w:lang w:val="en-US"/>
              </w:rPr>
              <w:t>TOTAL</w:t>
            </w:r>
          </w:p>
        </w:tc>
        <w:tc>
          <w:tcPr>
            <w:tcW w:type="dxa" w:w="1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b w:val="1"/>
                <w:bCs w:val="1"/>
                <w:shd w:val="nil" w:color="auto" w:fill="auto"/>
                <w:rtl w:val="0"/>
                <w:lang w:val="en-US"/>
              </w:rPr>
              <w:t>200</w:t>
            </w:r>
          </w:p>
        </w:tc>
        <w:tc>
          <w:tcPr>
            <w:tcW w:type="dxa" w:w="1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b w:val="1"/>
                <w:bCs w:val="1"/>
                <w:shd w:val="nil" w:color="auto" w:fill="auto"/>
                <w:rtl w:val="0"/>
                <w:lang w:val="en-US"/>
              </w:rPr>
              <w:t>200</w:t>
            </w:r>
          </w:p>
        </w:tc>
        <w:tc>
          <w:tcPr>
            <w:tcW w:type="dxa" w:w="1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b w:val="1"/>
                <w:bCs w:val="1"/>
                <w:shd w:val="nil" w:color="auto" w:fill="auto"/>
                <w:rtl w:val="0"/>
                <w:lang w:val="en-US"/>
              </w:rPr>
              <w:t>0</w:t>
            </w:r>
          </w:p>
        </w:tc>
        <w:tc>
          <w:tcPr>
            <w:tcW w:type="dxa" w:w="1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b w:val="1"/>
                <w:bCs w:val="1"/>
                <w:shd w:val="nil" w:color="auto" w:fill="auto"/>
                <w:rtl w:val="0"/>
                <w:lang w:val="en-US"/>
              </w:rPr>
              <w:t>100%</w:t>
            </w:r>
          </w:p>
        </w:tc>
        <w:tc>
          <w:tcPr>
            <w:tcW w:type="dxa" w:w="1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b w:val="1"/>
                <w:bCs w:val="1"/>
                <w:shd w:val="nil" w:color="auto" w:fill="auto"/>
                <w:rtl w:val="0"/>
                <w:lang w:val="en-US"/>
              </w:rPr>
              <w:t>~21s</w:t>
            </w:r>
          </w:p>
        </w:tc>
      </w:tr>
    </w:tbl>
    <w:p>
      <w:pPr>
        <w:pStyle w:val="Body"/>
        <w:widowControl w:val="0"/>
        <w:spacing w:line="240" w:lineRule="auto"/>
        <w:jc w:val="center"/>
      </w:pPr>
    </w:p>
    <w:p>
      <w:pPr>
        <w:pStyle w:val="Body"/>
      </w:pPr>
      <w:r>
        <w:rPr>
          <w:rFonts w:ascii="Arial Unicode MS" w:cs="Arial Unicode MS" w:hAnsi="Arial Unicode MS" w:eastAsia="Arial Unicode MS"/>
          <w:b w:val="0"/>
          <w:bCs w:val="0"/>
          <w:i w:val="0"/>
          <w:iCs w:val="0"/>
        </w:rPr>
        <w:br w:type="page"/>
      </w:r>
    </w:p>
    <w:p>
      <w:pPr>
        <w:pStyle w:val="Body"/>
        <w:spacing w:before="360" w:after="0"/>
        <w:jc w:val="right"/>
      </w:pPr>
      <w:r>
        <w:rPr>
          <w:rFonts w:ascii="Times New Roman" w:hAnsi="Times New Roman"/>
          <w:b w:val="1"/>
          <w:bCs w:val="1"/>
          <w:i w:val="1"/>
          <w:iCs w:val="1"/>
          <w:sz w:val="28"/>
          <w:szCs w:val="28"/>
          <w:rtl w:val="0"/>
          <w:lang w:val="nl-NL"/>
        </w:rPr>
        <w:t>Chapter 8</w:t>
      </w:r>
    </w:p>
    <w:p>
      <w:pPr>
        <w:pStyle w:val="Body"/>
        <w:pBdr>
          <w:top w:val="nil"/>
          <w:left w:val="nil"/>
          <w:bottom w:val="single" w:color="aaaaaa" w:sz="6" w:space="0" w:shadow="0" w:frame="0"/>
          <w:right w:val="nil"/>
        </w:pBdr>
        <w:spacing w:before="40" w:after="280"/>
        <w:jc w:val="right"/>
      </w:pPr>
      <w:r>
        <w:rPr>
          <w:rFonts w:ascii="Times New Roman" w:hAnsi="Times New Roman"/>
          <w:b w:val="1"/>
          <w:bCs w:val="1"/>
          <w:sz w:val="28"/>
          <w:szCs w:val="28"/>
          <w:rtl w:val="0"/>
          <w:lang w:val="en-US"/>
        </w:rPr>
        <w:t>CONCLUSION AND FUTURE WORK</w:t>
      </w:r>
    </w:p>
    <w:p>
      <w:pPr>
        <w:pStyle w:val="Body"/>
        <w:spacing w:before="240" w:after="120"/>
      </w:pPr>
      <w:r>
        <w:rPr>
          <w:rFonts w:ascii="Times New Roman" w:hAnsi="Times New Roman"/>
          <w:b w:val="1"/>
          <w:bCs w:val="1"/>
          <w:sz w:val="24"/>
          <w:szCs w:val="24"/>
          <w:rtl w:val="0"/>
          <w:lang w:val="it-IT"/>
        </w:rPr>
        <w:t>8.1 Conclusion</w:t>
      </w:r>
    </w:p>
    <w:p>
      <w:pPr>
        <w:pStyle w:val="Body"/>
        <w:spacing w:after="120" w:line="360" w:lineRule="auto"/>
        <w:jc w:val="both"/>
      </w:pPr>
      <w:r>
        <w:rPr>
          <w:rFonts w:ascii="Times New Roman" w:hAnsi="Times New Roman"/>
          <w:sz w:val="24"/>
          <w:szCs w:val="24"/>
          <w:rtl w:val="0"/>
          <w:lang w:val="en-US"/>
        </w:rPr>
        <w:t>This project has successfully designed, implemented, and validated an AI-powered Epilepsy Variant Diagnostic Assistant that addresses the critical gaps in existing variant classification tools. The system integrates a calibrated XGBoost machine learning classifier, an automated ACMG/AMP 14-criterion classification engine based on Tavtigian scoring, TreeSHAP-based explainability, a multi-source RAG pipeline, and a React-based clinical web interface into a coherent, production-ready diagnostic support system.</w:t>
      </w:r>
    </w:p>
    <w:p>
      <w:pPr>
        <w:pStyle w:val="Body"/>
        <w:spacing w:after="120" w:line="360" w:lineRule="auto"/>
        <w:jc w:val="both"/>
      </w:pPr>
      <w:r>
        <w:rPr>
          <w:rFonts w:ascii="Times New Roman" w:hAnsi="Times New Roman"/>
          <w:sz w:val="24"/>
          <w:szCs w:val="24"/>
          <w:rtl w:val="0"/>
          <w:lang w:val="en-US"/>
        </w:rPr>
        <w:t xml:space="preserve">The ML classifier achieves 89.89% accuracy, 0.9446 AUC, and 0.8538 F1 score </w:t>
      </w:r>
      <w:r>
        <w:rPr>
          <w:rFonts w:ascii="Times New Roman" w:hAnsi="Times New Roman" w:hint="default"/>
          <w:sz w:val="24"/>
          <w:szCs w:val="24"/>
          <w:rtl w:val="0"/>
          <w:lang w:val="en-US"/>
        </w:rPr>
        <w:t xml:space="preserve">— </w:t>
      </w:r>
      <w:r>
        <w:rPr>
          <w:rFonts w:ascii="Times New Roman" w:hAnsi="Times New Roman"/>
          <w:sz w:val="24"/>
          <w:szCs w:val="24"/>
          <w:rtl w:val="0"/>
          <w:lang w:val="en-US"/>
        </w:rPr>
        <w:t>outperforming logistic regression, random forest, gradient boosting, and both simple and residual neural network architectures on the epilepsy variant classification task. Isotonic calibration improves the Brier score from 0.0875 to 0.0761, ensuring that model confidence scores are statistically reliable and clinically meaningful.</w:t>
      </w:r>
    </w:p>
    <w:p>
      <w:pPr>
        <w:pStyle w:val="Body"/>
        <w:spacing w:after="120" w:line="360" w:lineRule="auto"/>
        <w:jc w:val="both"/>
      </w:pPr>
      <w:r>
        <w:rPr>
          <w:rFonts w:ascii="Times New Roman" w:hAnsi="Times New Roman"/>
          <w:sz w:val="24"/>
          <w:szCs w:val="24"/>
          <w:rtl w:val="0"/>
          <w:lang w:val="en-US"/>
        </w:rPr>
        <w:t>The ACMG engine achieves 98.5% agreement with expert classifications on a validation set of 200 real ClinVar variants, with 100% accuracy on pathogenic variants. The gene mechanism map correctly differentiates LOF genes (where PVS1 applies) from GOF genes (where PVS1 is inappropriate), a critical clinical distinction absent from generic variant classifiers.</w:t>
      </w:r>
    </w:p>
    <w:p>
      <w:pPr>
        <w:pStyle w:val="Body"/>
        <w:spacing w:after="120" w:line="360" w:lineRule="auto"/>
        <w:jc w:val="both"/>
      </w:pPr>
      <w:r>
        <w:rPr>
          <w:rFonts w:ascii="Times New Roman" w:hAnsi="Times New Roman"/>
          <w:sz w:val="24"/>
          <w:szCs w:val="24"/>
          <w:rtl w:val="0"/>
          <w:lang w:val="en-US"/>
        </w:rPr>
        <w:t>Comprehensive testing across 200 test cases (86 unit, 34 integration, 40 regression, 19 smoke, 21 performance) resulted in a 100% pass rate, confirming system correctness, stability, and production readiness. The API achieves 30</w:t>
      </w:r>
      <w:r>
        <w:rPr>
          <w:rFonts w:ascii="Times New Roman" w:hAnsi="Times New Roman" w:hint="default"/>
          <w:sz w:val="24"/>
          <w:szCs w:val="24"/>
          <w:rtl w:val="0"/>
          <w:lang w:val="en-US"/>
        </w:rPr>
        <w:t>–</w:t>
      </w:r>
      <w:r>
        <w:rPr>
          <w:rFonts w:ascii="Times New Roman" w:hAnsi="Times New Roman"/>
          <w:sz w:val="24"/>
          <w:szCs w:val="24"/>
          <w:rtl w:val="0"/>
          <w:lang w:val="en-US"/>
        </w:rPr>
        <w:t>34 req/s throughput for ML inference with mean latency of 27.6 ms, well within the 2-second SLA requirement.</w:t>
      </w:r>
    </w:p>
    <w:p>
      <w:pPr>
        <w:pStyle w:val="Body"/>
        <w:spacing w:after="120" w:line="36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The system represents a significant step toward automating the variant interpretation workflow in epilepsy genetics, with the potential to reduce the manual burden on clinical genetics laboratories, improve classification consistency, and accelerate diagnosis for patients with genetic epilepsy.</w:t>
      </w:r>
    </w:p>
    <w:p>
      <w:pPr>
        <w:pStyle w:val="Body"/>
        <w:spacing w:after="120" w:line="360" w:lineRule="auto"/>
        <w:jc w:val="both"/>
        <w:rPr>
          <w:rFonts w:ascii="Times New Roman" w:cs="Times New Roman" w:hAnsi="Times New Roman" w:eastAsia="Times New Roman"/>
          <w:sz w:val="24"/>
          <w:szCs w:val="24"/>
        </w:rPr>
      </w:pPr>
    </w:p>
    <w:p>
      <w:pPr>
        <w:pStyle w:val="Body"/>
        <w:spacing w:after="120" w:line="360" w:lineRule="auto"/>
        <w:jc w:val="both"/>
      </w:pPr>
    </w:p>
    <w:p>
      <w:pPr>
        <w:pStyle w:val="Body"/>
        <w:spacing w:before="240" w:after="120"/>
      </w:pPr>
      <w:r>
        <w:rPr>
          <w:rFonts w:ascii="Times New Roman" w:hAnsi="Times New Roman"/>
          <w:b w:val="1"/>
          <w:bCs w:val="1"/>
          <w:sz w:val="24"/>
          <w:szCs w:val="24"/>
          <w:rtl w:val="0"/>
          <w:lang w:val="en-US"/>
        </w:rPr>
        <w:t>8.2 Future Work</w:t>
      </w:r>
    </w:p>
    <w:p>
      <w:pPr>
        <w:pStyle w:val="Body"/>
        <w:spacing w:after="120" w:line="360" w:lineRule="auto"/>
        <w:jc w:val="both"/>
      </w:pPr>
      <w:r>
        <w:rPr>
          <w:rFonts w:ascii="Times New Roman" w:hAnsi="Times New Roman"/>
          <w:sz w:val="24"/>
          <w:szCs w:val="24"/>
          <w:rtl w:val="0"/>
          <w:lang w:val="en-US"/>
        </w:rPr>
        <w:t>The following directions are identified for future enhancement of the system:</w:t>
      </w:r>
    </w:p>
    <w:p>
      <w:pPr>
        <w:pStyle w:val="Body"/>
        <w:spacing w:after="80"/>
        <w:ind w:left="576" w:hanging="288"/>
      </w:pPr>
      <w:r>
        <w:rPr>
          <w:rFonts w:ascii="Times New Roman" w:hAnsi="Times New Roman" w:hint="default"/>
          <w:sz w:val="24"/>
          <w:szCs w:val="24"/>
          <w:rtl w:val="0"/>
          <w:lang w:val="en-US"/>
        </w:rPr>
        <w:t xml:space="preserve">•  </w:t>
      </w:r>
      <w:r>
        <w:rPr>
          <w:rFonts w:ascii="Times New Roman" w:hAnsi="Times New Roman"/>
          <w:sz w:val="24"/>
          <w:szCs w:val="24"/>
          <w:rtl w:val="0"/>
          <w:lang w:val="en-US"/>
        </w:rPr>
        <w:t>Whole-Genome Variant Support: Extending the feature engineering pipeline to incorporate genomic position, conservation scores (PhyloP, GERP), and splice prediction scores (SpliceAI) would enable classification of intronic and regulatory variants currently outside the panel's scope.</w:t>
      </w:r>
    </w:p>
    <w:p>
      <w:pPr>
        <w:pStyle w:val="Body"/>
        <w:spacing w:after="80"/>
        <w:ind w:left="576" w:hanging="288"/>
      </w:pPr>
      <w:r>
        <w:rPr>
          <w:rFonts w:ascii="Times New Roman" w:hAnsi="Times New Roman" w:hint="default"/>
          <w:sz w:val="24"/>
          <w:szCs w:val="24"/>
          <w:rtl w:val="0"/>
          <w:lang w:val="en-US"/>
        </w:rPr>
        <w:t xml:space="preserve">•  </w:t>
      </w:r>
      <w:r>
        <w:rPr>
          <w:rFonts w:ascii="Times New Roman" w:hAnsi="Times New Roman"/>
          <w:sz w:val="24"/>
          <w:szCs w:val="24"/>
          <w:rtl w:val="0"/>
          <w:lang w:val="en-US"/>
        </w:rPr>
        <w:t>Variant Normalisation: Integration with HGVS notation and Ensembl Variant Effect Predictor (VEP) would enable users to input variants by genomic coordinate or protein change notation rather than requiring manual field entry.</w:t>
      </w:r>
    </w:p>
    <w:p>
      <w:pPr>
        <w:pStyle w:val="Body"/>
        <w:spacing w:after="80"/>
        <w:ind w:left="576" w:hanging="288"/>
      </w:pPr>
      <w:r>
        <w:rPr>
          <w:rFonts w:ascii="Times New Roman" w:hAnsi="Times New Roman" w:hint="default"/>
          <w:sz w:val="24"/>
          <w:szCs w:val="24"/>
          <w:rtl w:val="0"/>
          <w:lang w:val="en-US"/>
        </w:rPr>
        <w:t xml:space="preserve">•  </w:t>
      </w:r>
      <w:r>
        <w:rPr>
          <w:rFonts w:ascii="Times New Roman" w:hAnsi="Times New Roman"/>
          <w:sz w:val="24"/>
          <w:szCs w:val="24"/>
          <w:rtl w:val="0"/>
          <w:lang w:val="en-US"/>
        </w:rPr>
        <w:t>Expanded Gene Panel: The current 27-gene panel covers the most clinically established epilepsy genes. Future work should expand to include emerging epilepsy genes identified in recent large-cohort studies (e.g., SYNGAP1, GRIN2B, KCNA2).</w:t>
      </w:r>
    </w:p>
    <w:p>
      <w:pPr>
        <w:pStyle w:val="Body"/>
        <w:spacing w:after="80"/>
        <w:ind w:left="576" w:hanging="288"/>
      </w:pPr>
      <w:r>
        <w:rPr>
          <w:rFonts w:ascii="Times New Roman" w:hAnsi="Times New Roman" w:hint="default"/>
          <w:sz w:val="24"/>
          <w:szCs w:val="24"/>
          <w:rtl w:val="0"/>
          <w:lang w:val="en-US"/>
        </w:rPr>
        <w:t xml:space="preserve">•  </w:t>
      </w:r>
      <w:r>
        <w:rPr>
          <w:rFonts w:ascii="Times New Roman" w:hAnsi="Times New Roman"/>
          <w:sz w:val="24"/>
          <w:szCs w:val="24"/>
          <w:rtl w:val="0"/>
          <w:lang w:val="en-US"/>
        </w:rPr>
        <w:t>Longitudinal Variant Tracking: A patient-linked database would enable tracking of variant reclassification over time as new evidence accumulates, automatically notifying clinicians when a VUS is upgraded to Likely Pathogenic.</w:t>
      </w:r>
    </w:p>
    <w:p>
      <w:pPr>
        <w:pStyle w:val="Body"/>
        <w:spacing w:after="80"/>
        <w:ind w:left="576" w:hanging="288"/>
      </w:pPr>
      <w:r>
        <w:rPr>
          <w:rFonts w:ascii="Times New Roman" w:hAnsi="Times New Roman" w:hint="default"/>
          <w:sz w:val="24"/>
          <w:szCs w:val="24"/>
          <w:rtl w:val="0"/>
          <w:lang w:val="en-US"/>
        </w:rPr>
        <w:t xml:space="preserve">•  </w:t>
      </w:r>
      <w:r>
        <w:rPr>
          <w:rFonts w:ascii="Times New Roman" w:hAnsi="Times New Roman"/>
          <w:sz w:val="24"/>
          <w:szCs w:val="24"/>
          <w:rtl w:val="0"/>
          <w:lang w:val="en-US"/>
        </w:rPr>
        <w:t>Multi-Tool PP3 Evidence: ACMG PP3 formally requires evidence from multiple independent computational predictors. Future integration of CADD, REVEL, and SpliceAI scores alongside SHAP would enable a more rigorous PP3 assessment.</w:t>
      </w:r>
    </w:p>
    <w:p>
      <w:pPr>
        <w:pStyle w:val="Body"/>
        <w:spacing w:after="80"/>
        <w:ind w:left="576" w:hanging="288"/>
      </w:pPr>
      <w:r>
        <w:rPr>
          <w:rFonts w:ascii="Times New Roman" w:hAnsi="Times New Roman" w:hint="default"/>
          <w:sz w:val="24"/>
          <w:szCs w:val="24"/>
          <w:rtl w:val="0"/>
          <w:lang w:val="en-US"/>
        </w:rPr>
        <w:t xml:space="preserve">•  </w:t>
      </w:r>
      <w:r>
        <w:rPr>
          <w:rFonts w:ascii="Times New Roman" w:hAnsi="Times New Roman"/>
          <w:sz w:val="24"/>
          <w:szCs w:val="24"/>
          <w:rtl w:val="0"/>
          <w:lang w:val="en-US"/>
        </w:rPr>
        <w:t>Federated Learning: Training the ML model on multi-institutional variant datasets using federated learning would improve model generalisability while preserving patient data privacy across institutions.</w:t>
      </w:r>
    </w:p>
    <w:p>
      <w:pPr>
        <w:pStyle w:val="Body"/>
        <w:spacing w:after="80"/>
        <w:ind w:left="576" w:hanging="288"/>
      </w:pPr>
      <w:r>
        <w:rPr>
          <w:rFonts w:ascii="Times New Roman" w:hAnsi="Times New Roman" w:hint="default"/>
          <w:sz w:val="24"/>
          <w:szCs w:val="24"/>
          <w:rtl w:val="0"/>
          <w:lang w:val="en-US"/>
        </w:rPr>
        <w:t xml:space="preserve">•  </w:t>
      </w:r>
      <w:r>
        <w:rPr>
          <w:rFonts w:ascii="Times New Roman" w:hAnsi="Times New Roman"/>
          <w:sz w:val="24"/>
          <w:szCs w:val="24"/>
          <w:rtl w:val="0"/>
          <w:lang w:val="en-US"/>
        </w:rPr>
        <w:t>Clinician Feedback Loop: A structured feedback mechanism allowing clinical geneticists to flag incorrect classifications would create a continuously improving active-learning loop.</w:t>
      </w:r>
    </w:p>
    <w:p>
      <w:pPr>
        <w:pStyle w:val="Body"/>
        <w:spacing w:after="80"/>
        <w:ind w:left="576" w:hanging="288"/>
      </w:pPr>
      <w:r>
        <w:rPr>
          <w:rFonts w:ascii="Times New Roman" w:hAnsi="Times New Roman" w:hint="default"/>
          <w:sz w:val="24"/>
          <w:szCs w:val="24"/>
          <w:rtl w:val="0"/>
          <w:lang w:val="en-US"/>
        </w:rPr>
        <w:t xml:space="preserve">•  </w:t>
      </w:r>
      <w:r>
        <w:rPr>
          <w:rFonts w:ascii="Times New Roman" w:hAnsi="Times New Roman"/>
          <w:sz w:val="24"/>
          <w:szCs w:val="24"/>
          <w:rtl w:val="0"/>
          <w:lang w:val="en-US"/>
        </w:rPr>
        <w:t>PDF Report Generation: Automatic generation of a formatted clinical genetics report in PDF format, suitable for direct inclusion in patient records, is a near-term development priority.</w:t>
      </w:r>
    </w:p>
    <w:p>
      <w:pPr>
        <w:pStyle w:val="Body"/>
        <w:spacing w:after="80"/>
        <w:ind w:left="576" w:hanging="288"/>
      </w:pPr>
      <w:r>
        <w:rPr>
          <w:rFonts w:ascii="Times New Roman" w:hAnsi="Times New Roman" w:hint="default"/>
          <w:sz w:val="24"/>
          <w:szCs w:val="24"/>
          <w:rtl w:val="0"/>
          <w:lang w:val="en-US"/>
        </w:rPr>
        <w:t xml:space="preserve">•  </w:t>
      </w:r>
      <w:r>
        <w:rPr>
          <w:rFonts w:ascii="Times New Roman" w:hAnsi="Times New Roman"/>
          <w:sz w:val="24"/>
          <w:szCs w:val="24"/>
          <w:rtl w:val="0"/>
          <w:lang w:val="en-US"/>
        </w:rPr>
        <w:t>Multilingual Support: Extension of the chat interface to support queries in additional languages would broaden accessibility for international clinical users.</w:t>
      </w:r>
    </w:p>
    <w:p>
      <w:pPr>
        <w:pStyle w:val="Body"/>
      </w:pPr>
      <w:r>
        <w:rPr>
          <w:rFonts w:ascii="Arial Unicode MS" w:cs="Arial Unicode MS" w:hAnsi="Arial Unicode MS" w:eastAsia="Arial Unicode MS"/>
          <w:b w:val="0"/>
          <w:bCs w:val="0"/>
          <w:i w:val="0"/>
          <w:iCs w:val="0"/>
        </w:rPr>
        <w:br w:type="page"/>
      </w:r>
    </w:p>
    <w:p>
      <w:pPr>
        <w:pStyle w:val="Body"/>
        <w:spacing w:before="360" w:after="0"/>
        <w:jc w:val="right"/>
      </w:pPr>
      <w:r>
        <w:rPr>
          <w:rFonts w:ascii="Times New Roman" w:hAnsi="Times New Roman"/>
          <w:b w:val="1"/>
          <w:bCs w:val="1"/>
          <w:i w:val="1"/>
          <w:iCs w:val="1"/>
          <w:sz w:val="28"/>
          <w:szCs w:val="28"/>
          <w:rtl w:val="0"/>
          <w:lang w:val="da-DK"/>
        </w:rPr>
        <w:t>Appendix A</w:t>
      </w:r>
    </w:p>
    <w:p>
      <w:pPr>
        <w:pStyle w:val="Body"/>
        <w:pBdr>
          <w:top w:val="nil"/>
          <w:left w:val="nil"/>
          <w:bottom w:val="single" w:color="aaaaaa" w:sz="6" w:space="0" w:shadow="0" w:frame="0"/>
          <w:right w:val="nil"/>
        </w:pBdr>
        <w:spacing w:before="40" w:after="280"/>
        <w:jc w:val="right"/>
      </w:pPr>
      <w:r>
        <w:rPr>
          <w:rFonts w:ascii="Times New Roman" w:hAnsi="Times New Roman"/>
          <w:b w:val="1"/>
          <w:bCs w:val="1"/>
          <w:sz w:val="28"/>
          <w:szCs w:val="28"/>
          <w:rtl w:val="0"/>
          <w:lang w:val="da-DK"/>
        </w:rPr>
        <w:t>PROJECT TEAM DETAILS</w:t>
      </w:r>
    </w:p>
    <w:tbl>
      <w:tblPr>
        <w:tblW w:w="8788"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97"/>
        <w:gridCol w:w="2197"/>
        <w:gridCol w:w="2197"/>
        <w:gridCol w:w="2197"/>
      </w:tblGrid>
      <w:tr>
        <w:tblPrEx>
          <w:shd w:val="clear" w:color="auto" w:fill="ced7e7"/>
        </w:tblPrEx>
        <w:trPr>
          <w:trHeight w:val="721" w:hRule="atLeast"/>
        </w:trPr>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pPr>
            <w:r>
              <w:rPr>
                <w:rFonts w:ascii="Times New Roman" w:hAnsi="Times New Roman"/>
                <w:b w:val="1"/>
                <w:bCs w:val="1"/>
                <w:shd w:val="nil" w:color="auto" w:fill="auto"/>
                <w:rtl w:val="0"/>
                <w:lang w:val="en-US"/>
              </w:rPr>
              <w:t>Project Title</w:t>
            </w:r>
          </w:p>
        </w:tc>
        <w:tc>
          <w:tcPr>
            <w:tcW w:type="dxa" w:w="659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80" w:after="80" w:line="240" w:lineRule="auto"/>
              <w:jc w:val="center"/>
            </w:pPr>
            <w:r>
              <w:rPr>
                <w:rFonts w:ascii="Times New Roman" w:hAnsi="Times New Roman"/>
                <w:shd w:val="nil" w:color="auto" w:fill="auto"/>
                <w:rtl w:val="0"/>
                <w:lang w:val="en-US"/>
              </w:rPr>
              <w:t>AI-Powered Epilepsy Variant Diagnostic Assistant Using Machine Learning, ACMG/AMP Guidelines, and Retrieval-Augmented Generation</w:t>
            </w:r>
          </w:p>
        </w:tc>
      </w:tr>
      <w:tr>
        <w:tblPrEx>
          <w:shd w:val="clear" w:color="auto" w:fill="ced7e7"/>
        </w:tblPrEx>
        <w:trPr>
          <w:trHeight w:val="241" w:hRule="atLeast"/>
        </w:trPr>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60" w:after="60" w:line="240" w:lineRule="auto"/>
              <w:jc w:val="center"/>
            </w:pPr>
            <w:r>
              <w:rPr>
                <w:rFonts w:ascii="Times New Roman" w:hAnsi="Times New Roman"/>
                <w:b w:val="1"/>
                <w:bCs w:val="1"/>
                <w:shd w:val="nil" w:color="auto" w:fill="auto"/>
                <w:rtl w:val="0"/>
                <w:lang w:val="en-US"/>
              </w:rPr>
              <w:t>USN</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60" w:after="60" w:line="240" w:lineRule="auto"/>
              <w:jc w:val="center"/>
            </w:pPr>
            <w:r>
              <w:rPr>
                <w:rFonts w:ascii="Times New Roman" w:hAnsi="Times New Roman"/>
                <w:b w:val="1"/>
                <w:bCs w:val="1"/>
                <w:shd w:val="nil" w:color="auto" w:fill="auto"/>
                <w:rtl w:val="0"/>
                <w:lang w:val="en-US"/>
              </w:rPr>
              <w:t>Team Members</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60" w:after="60" w:line="240" w:lineRule="auto"/>
              <w:jc w:val="center"/>
            </w:pPr>
            <w:r>
              <w:rPr>
                <w:rFonts w:ascii="Times New Roman" w:hAnsi="Times New Roman"/>
                <w:b w:val="1"/>
                <w:bCs w:val="1"/>
                <w:shd w:val="nil" w:color="auto" w:fill="auto"/>
                <w:rtl w:val="0"/>
                <w:lang w:val="en-US"/>
              </w:rPr>
              <w:t>Email ID</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60" w:after="60" w:line="240" w:lineRule="auto"/>
              <w:jc w:val="center"/>
            </w:pPr>
            <w:r>
              <w:rPr>
                <w:rFonts w:ascii="Times New Roman" w:hAnsi="Times New Roman"/>
                <w:b w:val="1"/>
                <w:bCs w:val="1"/>
                <w:shd w:val="nil" w:color="auto" w:fill="auto"/>
                <w:rtl w:val="0"/>
                <w:lang w:val="en-US"/>
              </w:rPr>
              <w:t>Mobile Number</w:t>
            </w:r>
          </w:p>
        </w:tc>
      </w:tr>
      <w:tr>
        <w:tblPrEx>
          <w:shd w:val="clear" w:color="auto" w:fill="ced7e7"/>
        </w:tblPrEx>
        <w:trPr>
          <w:trHeight w:val="481" w:hRule="atLeast"/>
        </w:trPr>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60" w:after="60" w:line="240" w:lineRule="auto"/>
              <w:jc w:val="center"/>
            </w:pPr>
            <w:r>
              <w:rPr>
                <w:rFonts w:ascii="Times New Roman" w:hAnsi="Times New Roman"/>
                <w:shd w:val="nil" w:color="auto" w:fill="auto"/>
                <w:rtl w:val="0"/>
                <w:lang w:val="en-US"/>
              </w:rPr>
              <w:t>02JST22UCS110</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60" w:after="60" w:line="240" w:lineRule="auto"/>
              <w:jc w:val="center"/>
            </w:pPr>
            <w:r>
              <w:rPr>
                <w:rFonts w:ascii="Times New Roman" w:hAnsi="Times New Roman"/>
                <w:shd w:val="nil" w:color="auto" w:fill="auto"/>
                <w:rtl w:val="0"/>
                <w:lang w:val="en-US"/>
              </w:rPr>
              <w:t>Srinidhi S G</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60" w:after="60" w:line="240" w:lineRule="auto"/>
              <w:jc w:val="center"/>
            </w:pPr>
            <w:r>
              <w:rPr>
                <w:rFonts w:ascii="Times New Roman" w:hAnsi="Times New Roman"/>
                <w:shd w:val="nil" w:color="auto" w:fill="auto"/>
                <w:rtl w:val="0"/>
                <w:lang w:val="en-US"/>
              </w:rPr>
              <w:t>srinidhisg1@gmail.com</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60" w:after="60" w:line="240" w:lineRule="auto"/>
              <w:jc w:val="center"/>
            </w:pPr>
            <w:r>
              <w:rPr>
                <w:rFonts w:ascii="Times New Roman" w:hAnsi="Times New Roman"/>
                <w:shd w:val="nil" w:color="auto" w:fill="auto"/>
                <w:rtl w:val="0"/>
                <w:lang w:val="en-US"/>
              </w:rPr>
              <w:t>8618978068</w:t>
            </w:r>
          </w:p>
        </w:tc>
      </w:tr>
      <w:tr>
        <w:tblPrEx>
          <w:shd w:val="clear" w:color="auto" w:fill="ced7e7"/>
        </w:tblPrEx>
        <w:trPr>
          <w:trHeight w:val="481" w:hRule="atLeast"/>
        </w:trPr>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60" w:after="60" w:line="240" w:lineRule="auto"/>
              <w:jc w:val="center"/>
            </w:pPr>
            <w:r>
              <w:rPr>
                <w:rFonts w:ascii="Times New Roman" w:hAnsi="Times New Roman"/>
                <w:shd w:val="nil" w:color="auto" w:fill="auto"/>
                <w:rtl w:val="0"/>
                <w:lang w:val="en-US"/>
              </w:rPr>
              <w:t>01JST22UCS027</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60" w:after="60" w:line="240" w:lineRule="auto"/>
              <w:jc w:val="center"/>
            </w:pPr>
            <w:r>
              <w:rPr>
                <w:rFonts w:ascii="Times New Roman" w:hAnsi="Times New Roman"/>
                <w:shd w:val="nil" w:color="auto" w:fill="auto"/>
                <w:rtl w:val="0"/>
                <w:lang w:val="en-US"/>
              </w:rPr>
              <w:t>Bharath H</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60" w:after="60" w:line="240" w:lineRule="auto"/>
              <w:jc w:val="center"/>
            </w:pPr>
            <w:r>
              <w:rPr>
                <w:rFonts w:ascii="Times New Roman" w:hAnsi="Times New Roman"/>
                <w:shd w:val="nil" w:color="auto" w:fill="auto"/>
                <w:rtl w:val="0"/>
                <w:lang w:val="en-US"/>
              </w:rPr>
              <w:t>bharath62004@gmail.com</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60" w:after="60" w:line="240" w:lineRule="auto"/>
              <w:jc w:val="center"/>
            </w:pPr>
            <w:r>
              <w:rPr>
                <w:rFonts w:ascii="Times New Roman" w:hAnsi="Times New Roman"/>
                <w:shd w:val="nil" w:color="auto" w:fill="auto"/>
                <w:rtl w:val="0"/>
                <w:lang w:val="en-US"/>
              </w:rPr>
              <w:t>9108941433</w:t>
            </w:r>
          </w:p>
        </w:tc>
      </w:tr>
      <w:tr>
        <w:tblPrEx>
          <w:shd w:val="clear" w:color="auto" w:fill="ced7e7"/>
        </w:tblPrEx>
        <w:trPr>
          <w:trHeight w:val="481" w:hRule="atLeast"/>
        </w:trPr>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60" w:after="60" w:line="240" w:lineRule="auto"/>
              <w:jc w:val="center"/>
            </w:pPr>
            <w:r>
              <w:rPr>
                <w:rFonts w:ascii="Times New Roman" w:hAnsi="Times New Roman"/>
                <w:shd w:val="nil" w:color="auto" w:fill="auto"/>
                <w:rtl w:val="0"/>
                <w:lang w:val="en-US"/>
              </w:rPr>
              <w:t>02JST22UCS119</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60" w:after="60" w:line="240" w:lineRule="auto"/>
              <w:jc w:val="center"/>
            </w:pPr>
            <w:r>
              <w:rPr>
                <w:rFonts w:ascii="Times New Roman" w:hAnsi="Times New Roman"/>
                <w:shd w:val="nil" w:color="auto" w:fill="auto"/>
                <w:rtl w:val="0"/>
                <w:lang w:val="en-US"/>
              </w:rPr>
              <w:t>Sushant Kabbinada</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60" w:after="60" w:line="240" w:lineRule="auto"/>
              <w:jc w:val="center"/>
            </w:pPr>
            <w:r>
              <w:rPr>
                <w:rFonts w:ascii="Times New Roman" w:hAnsi="Times New Roman"/>
                <w:shd w:val="nil" w:color="auto" w:fill="auto"/>
                <w:rtl w:val="0"/>
                <w:lang w:val="en-US"/>
              </w:rPr>
              <w:t>sushant.k2150@gmail.com</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60" w:after="60" w:line="240" w:lineRule="auto"/>
              <w:jc w:val="center"/>
            </w:pPr>
            <w:r>
              <w:rPr>
                <w:rFonts w:ascii="Times New Roman" w:hAnsi="Times New Roman"/>
                <w:shd w:val="nil" w:color="auto" w:fill="auto"/>
                <w:rtl w:val="0"/>
                <w:lang w:val="en-US"/>
              </w:rPr>
              <w:t>9611130677</w:t>
            </w:r>
          </w:p>
        </w:tc>
      </w:tr>
      <w:tr>
        <w:tblPrEx>
          <w:shd w:val="clear" w:color="auto" w:fill="ced7e7"/>
        </w:tblPrEx>
        <w:trPr>
          <w:trHeight w:val="481" w:hRule="atLeast"/>
        </w:trPr>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60" w:after="60" w:line="240" w:lineRule="auto"/>
              <w:jc w:val="center"/>
            </w:pPr>
            <w:r>
              <w:rPr>
                <w:rFonts w:ascii="Times New Roman" w:hAnsi="Times New Roman"/>
                <w:shd w:val="nil" w:color="auto" w:fill="auto"/>
                <w:rtl w:val="0"/>
                <w:lang w:val="en-US"/>
              </w:rPr>
              <w:t>01JST22UCS008</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60" w:after="60" w:line="240" w:lineRule="auto"/>
              <w:jc w:val="center"/>
            </w:pPr>
            <w:r>
              <w:rPr>
                <w:rFonts w:ascii="Times New Roman" w:hAnsi="Times New Roman"/>
                <w:shd w:val="nil" w:color="auto" w:fill="auto"/>
                <w:rtl w:val="0"/>
                <w:lang w:val="en-US"/>
              </w:rPr>
              <w:t>Aditya Patil</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60" w:after="60" w:line="240" w:lineRule="auto"/>
              <w:jc w:val="center"/>
            </w:pPr>
            <w:r>
              <w:rPr>
                <w:rFonts w:ascii="Times New Roman" w:hAnsi="Times New Roman"/>
                <w:shd w:val="nil" w:color="auto" w:fill="auto"/>
                <w:rtl w:val="0"/>
                <w:lang w:val="en-US"/>
              </w:rPr>
              <w:t>adityapatil0275@gmail.com</w:t>
            </w:r>
          </w:p>
        </w:tc>
        <w:tc>
          <w:tcPr>
            <w:tcW w:type="dxa" w:w="21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60" w:after="60" w:line="240" w:lineRule="auto"/>
              <w:jc w:val="center"/>
            </w:pPr>
            <w:r>
              <w:rPr>
                <w:rFonts w:ascii="Times New Roman" w:hAnsi="Times New Roman"/>
                <w:shd w:val="nil" w:color="auto" w:fill="auto"/>
                <w:rtl w:val="0"/>
                <w:lang w:val="en-US"/>
              </w:rPr>
              <w:t>6363552689</w:t>
            </w:r>
          </w:p>
        </w:tc>
      </w:tr>
    </w:tbl>
    <w:p>
      <w:pPr>
        <w:pStyle w:val="Body"/>
        <w:widowControl w:val="0"/>
        <w:spacing w:before="40" w:after="280" w:line="240" w:lineRule="auto"/>
        <w:jc w:val="center"/>
      </w:pPr>
    </w:p>
    <w:p>
      <w:pPr>
        <w:pStyle w:val="Body"/>
        <w:spacing w:after="120" w:line="360" w:lineRule="auto"/>
        <w:jc w:val="both"/>
      </w:pPr>
    </w:p>
    <w:tbl>
      <w:tblPr>
        <w:tblW w:w="8788"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394"/>
        <w:gridCol w:w="4394"/>
      </w:tblGrid>
      <w:tr>
        <w:tblPrEx>
          <w:shd w:val="clear" w:color="auto" w:fill="ced7e7"/>
        </w:tblPrEx>
        <w:trPr>
          <w:trHeight w:val="2641" w:hRule="atLeast"/>
        </w:trPr>
        <w:tc>
          <w:tcPr>
            <w:tcW w:type="dxa" w:w="4394"/>
            <w:tcBorders>
              <w:top w:val="nil"/>
              <w:left w:val="nil"/>
              <w:bottom w:val="nil"/>
              <w:right w:val="nil"/>
            </w:tcBorders>
            <w:shd w:val="clear" w:color="auto" w:fill="auto"/>
            <w:tcMar>
              <w:top w:type="dxa" w:w="80"/>
              <w:left w:type="dxa" w:w="80"/>
              <w:bottom w:type="dxa" w:w="80"/>
              <w:right w:type="dxa" w:w="80"/>
            </w:tcMar>
            <w:vAlign w:val="top"/>
          </w:tcPr>
          <w:p>
            <w:pPr>
              <w:pStyle w:val="Body"/>
              <w:spacing w:after="80"/>
              <w:jc w:val="center"/>
            </w:pPr>
            <w:r>
              <w:rPr>
                <w:shd w:val="nil" w:color="auto" w:fill="auto"/>
                <w:lang w:val="en-US"/>
              </w:rPr>
              <w:drawing xmlns:a="http://schemas.openxmlformats.org/drawingml/2006/main">
                <wp:inline distT="0" distB="0" distL="0" distR="0">
                  <wp:extent cx="1272423" cy="1645920"/>
                  <wp:effectExtent l="0" t="0" r="0" b="0"/>
                  <wp:docPr id="1073741838" name="officeArt object" descr="Picture 14"/>
                  <wp:cNvGraphicFramePr/>
                  <a:graphic xmlns:a="http://schemas.openxmlformats.org/drawingml/2006/main">
                    <a:graphicData uri="http://schemas.openxmlformats.org/drawingml/2006/picture">
                      <pic:pic xmlns:pic="http://schemas.openxmlformats.org/drawingml/2006/picture">
                        <pic:nvPicPr>
                          <pic:cNvPr id="1073741838" name="Picture 14" descr="Picture 14"/>
                          <pic:cNvPicPr>
                            <a:picLocks noChangeAspect="1"/>
                          </pic:cNvPicPr>
                        </pic:nvPicPr>
                        <pic:blipFill>
                          <a:blip r:embed="rId21">
                            <a:extLst/>
                          </a:blip>
                          <a:stretch>
                            <a:fillRect/>
                          </a:stretch>
                        </pic:blipFill>
                        <pic:spPr>
                          <a:xfrm>
                            <a:off x="0" y="0"/>
                            <a:ext cx="1272423" cy="1645920"/>
                          </a:xfrm>
                          <a:prstGeom prst="rect">
                            <a:avLst/>
                          </a:prstGeom>
                          <a:ln w="12700" cap="flat">
                            <a:noFill/>
                            <a:miter lim="400000"/>
                          </a:ln>
                          <a:effectLst/>
                        </pic:spPr>
                      </pic:pic>
                    </a:graphicData>
                  </a:graphic>
                </wp:inline>
              </w:drawing>
            </w:r>
          </w:p>
        </w:tc>
        <w:tc>
          <w:tcPr>
            <w:tcW w:type="dxa" w:w="4394"/>
            <w:tcBorders>
              <w:top w:val="nil"/>
              <w:left w:val="nil"/>
              <w:bottom w:val="nil"/>
              <w:right w:val="nil"/>
            </w:tcBorders>
            <w:shd w:val="clear" w:color="auto" w:fill="auto"/>
            <w:tcMar>
              <w:top w:type="dxa" w:w="80"/>
              <w:left w:type="dxa" w:w="80"/>
              <w:bottom w:type="dxa" w:w="80"/>
              <w:right w:type="dxa" w:w="80"/>
            </w:tcMar>
            <w:vAlign w:val="top"/>
          </w:tcPr>
          <w:p>
            <w:pPr>
              <w:pStyle w:val="Body"/>
              <w:spacing w:after="80"/>
              <w:jc w:val="center"/>
            </w:pPr>
            <w:r>
              <w:rPr>
                <w:shd w:val="nil" w:color="auto" w:fill="auto"/>
                <w:lang w:val="en-US"/>
              </w:rPr>
              <w:drawing xmlns:a="http://schemas.openxmlformats.org/drawingml/2006/main">
                <wp:inline distT="0" distB="0" distL="0" distR="0">
                  <wp:extent cx="1307845" cy="1645920"/>
                  <wp:effectExtent l="0" t="0" r="0" b="0"/>
                  <wp:docPr id="1073741839" name="officeArt object" descr="Picture 15"/>
                  <wp:cNvGraphicFramePr/>
                  <a:graphic xmlns:a="http://schemas.openxmlformats.org/drawingml/2006/main">
                    <a:graphicData uri="http://schemas.openxmlformats.org/drawingml/2006/picture">
                      <pic:pic xmlns:pic="http://schemas.openxmlformats.org/drawingml/2006/picture">
                        <pic:nvPicPr>
                          <pic:cNvPr id="1073741839" name="Picture 15" descr="Picture 15"/>
                          <pic:cNvPicPr>
                            <a:picLocks noChangeAspect="1"/>
                          </pic:cNvPicPr>
                        </pic:nvPicPr>
                        <pic:blipFill>
                          <a:blip r:embed="rId22">
                            <a:extLst/>
                          </a:blip>
                          <a:stretch>
                            <a:fillRect/>
                          </a:stretch>
                        </pic:blipFill>
                        <pic:spPr>
                          <a:xfrm>
                            <a:off x="0" y="0"/>
                            <a:ext cx="1307845" cy="1645920"/>
                          </a:xfrm>
                          <a:prstGeom prst="rect">
                            <a:avLst/>
                          </a:prstGeom>
                          <a:ln w="12700" cap="flat">
                            <a:noFill/>
                            <a:miter lim="400000"/>
                          </a:ln>
                          <a:effectLst/>
                        </pic:spPr>
                      </pic:pic>
                    </a:graphicData>
                  </a:graphic>
                </wp:inline>
              </w:drawing>
            </w:r>
          </w:p>
        </w:tc>
      </w:tr>
      <w:tr>
        <w:tblPrEx>
          <w:shd w:val="clear" w:color="auto" w:fill="ced7e7"/>
        </w:tblPrEx>
        <w:trPr>
          <w:trHeight w:val="231" w:hRule="atLeast"/>
        </w:trPr>
        <w:tc>
          <w:tcPr>
            <w:tcW w:type="dxa" w:w="4394"/>
            <w:tcBorders>
              <w:top w:val="nil"/>
              <w:left w:val="nil"/>
              <w:bottom w:val="nil"/>
              <w:right w:val="nil"/>
            </w:tcBorders>
            <w:shd w:val="clear" w:color="auto" w:fill="auto"/>
            <w:tcMar>
              <w:top w:type="dxa" w:w="80"/>
              <w:left w:type="dxa" w:w="80"/>
              <w:bottom w:type="dxa" w:w="80"/>
              <w:right w:type="dxa" w:w="80"/>
            </w:tcMar>
            <w:vAlign w:val="top"/>
          </w:tcPr>
          <w:p>
            <w:pPr>
              <w:pStyle w:val="Body"/>
              <w:spacing w:before="40" w:after="240"/>
              <w:jc w:val="center"/>
            </w:pPr>
            <w:r>
              <w:rPr>
                <w:rFonts w:ascii="Times New Roman" w:hAnsi="Times New Roman"/>
                <w:b w:val="1"/>
                <w:bCs w:val="1"/>
                <w:shd w:val="nil" w:color="auto" w:fill="auto"/>
                <w:rtl w:val="0"/>
                <w:lang w:val="en-US"/>
              </w:rPr>
              <w:t>Srinidhi S G</w:t>
            </w:r>
          </w:p>
        </w:tc>
        <w:tc>
          <w:tcPr>
            <w:tcW w:type="dxa" w:w="4394"/>
            <w:tcBorders>
              <w:top w:val="nil"/>
              <w:left w:val="nil"/>
              <w:bottom w:val="nil"/>
              <w:right w:val="nil"/>
            </w:tcBorders>
            <w:shd w:val="clear" w:color="auto" w:fill="auto"/>
            <w:tcMar>
              <w:top w:type="dxa" w:w="80"/>
              <w:left w:type="dxa" w:w="80"/>
              <w:bottom w:type="dxa" w:w="80"/>
              <w:right w:type="dxa" w:w="80"/>
            </w:tcMar>
            <w:vAlign w:val="top"/>
          </w:tcPr>
          <w:p>
            <w:pPr>
              <w:pStyle w:val="Body"/>
              <w:spacing w:before="40" w:after="240"/>
              <w:jc w:val="center"/>
            </w:pPr>
            <w:r>
              <w:rPr>
                <w:rFonts w:ascii="Times New Roman" w:hAnsi="Times New Roman"/>
                <w:b w:val="1"/>
                <w:bCs w:val="1"/>
                <w:shd w:val="nil" w:color="auto" w:fill="auto"/>
                <w:rtl w:val="0"/>
                <w:lang w:val="en-US"/>
              </w:rPr>
              <w:t>Bharath H</w:t>
            </w:r>
          </w:p>
        </w:tc>
      </w:tr>
      <w:tr>
        <w:tblPrEx>
          <w:shd w:val="clear" w:color="auto" w:fill="ced7e7"/>
        </w:tblPrEx>
        <w:trPr>
          <w:trHeight w:val="2641" w:hRule="atLeast"/>
        </w:trPr>
        <w:tc>
          <w:tcPr>
            <w:tcW w:type="dxa" w:w="4394"/>
            <w:tcBorders>
              <w:top w:val="nil"/>
              <w:left w:val="nil"/>
              <w:bottom w:val="nil"/>
              <w:right w:val="nil"/>
            </w:tcBorders>
            <w:shd w:val="clear" w:color="auto" w:fill="auto"/>
            <w:tcMar>
              <w:top w:type="dxa" w:w="80"/>
              <w:left w:type="dxa" w:w="80"/>
              <w:bottom w:type="dxa" w:w="80"/>
              <w:right w:type="dxa" w:w="80"/>
            </w:tcMar>
            <w:vAlign w:val="top"/>
          </w:tcPr>
          <w:p>
            <w:pPr>
              <w:pStyle w:val="Body"/>
              <w:spacing w:after="80"/>
              <w:jc w:val="center"/>
            </w:pPr>
            <w:r>
              <w:rPr>
                <w:shd w:val="nil" w:color="auto" w:fill="auto"/>
                <w:lang w:val="en-US"/>
              </w:rPr>
              <w:drawing xmlns:a="http://schemas.openxmlformats.org/drawingml/2006/main">
                <wp:inline distT="0" distB="0" distL="0" distR="0">
                  <wp:extent cx="1280160" cy="1645920"/>
                  <wp:effectExtent l="0" t="0" r="0" b="0"/>
                  <wp:docPr id="1073741840" name="officeArt object" descr="Picture 16"/>
                  <wp:cNvGraphicFramePr/>
                  <a:graphic xmlns:a="http://schemas.openxmlformats.org/drawingml/2006/main">
                    <a:graphicData uri="http://schemas.openxmlformats.org/drawingml/2006/picture">
                      <pic:pic xmlns:pic="http://schemas.openxmlformats.org/drawingml/2006/picture">
                        <pic:nvPicPr>
                          <pic:cNvPr id="1073741840" name="Picture 16" descr="Picture 16"/>
                          <pic:cNvPicPr>
                            <a:picLocks noChangeAspect="1"/>
                          </pic:cNvPicPr>
                        </pic:nvPicPr>
                        <pic:blipFill>
                          <a:blip r:embed="rId23">
                            <a:extLst/>
                          </a:blip>
                          <a:stretch>
                            <a:fillRect/>
                          </a:stretch>
                        </pic:blipFill>
                        <pic:spPr>
                          <a:xfrm>
                            <a:off x="0" y="0"/>
                            <a:ext cx="1280160" cy="1645920"/>
                          </a:xfrm>
                          <a:prstGeom prst="rect">
                            <a:avLst/>
                          </a:prstGeom>
                          <a:ln w="12700" cap="flat">
                            <a:noFill/>
                            <a:miter lim="400000"/>
                          </a:ln>
                          <a:effectLst/>
                        </pic:spPr>
                      </pic:pic>
                    </a:graphicData>
                  </a:graphic>
                </wp:inline>
              </w:drawing>
            </w:r>
          </w:p>
        </w:tc>
        <w:tc>
          <w:tcPr>
            <w:tcW w:type="dxa" w:w="4394"/>
            <w:tcBorders>
              <w:top w:val="nil"/>
              <w:left w:val="nil"/>
              <w:bottom w:val="nil"/>
              <w:right w:val="nil"/>
            </w:tcBorders>
            <w:shd w:val="clear" w:color="auto" w:fill="auto"/>
            <w:tcMar>
              <w:top w:type="dxa" w:w="80"/>
              <w:left w:type="dxa" w:w="80"/>
              <w:bottom w:type="dxa" w:w="80"/>
              <w:right w:type="dxa" w:w="80"/>
            </w:tcMar>
            <w:vAlign w:val="top"/>
          </w:tcPr>
          <w:p>
            <w:pPr>
              <w:pStyle w:val="Body"/>
              <w:spacing w:after="80"/>
              <w:jc w:val="center"/>
            </w:pPr>
            <w:r>
              <w:rPr>
                <w:shd w:val="nil" w:color="auto" w:fill="auto"/>
                <w:lang w:val="en-US"/>
              </w:rPr>
              <w:drawing xmlns:a="http://schemas.openxmlformats.org/drawingml/2006/main">
                <wp:inline distT="0" distB="0" distL="0" distR="0">
                  <wp:extent cx="1645920" cy="1645920"/>
                  <wp:effectExtent l="0" t="0" r="0" b="0"/>
                  <wp:docPr id="1073741841" name="officeArt object" descr="Picture 17"/>
                  <wp:cNvGraphicFramePr/>
                  <a:graphic xmlns:a="http://schemas.openxmlformats.org/drawingml/2006/main">
                    <a:graphicData uri="http://schemas.openxmlformats.org/drawingml/2006/picture">
                      <pic:pic xmlns:pic="http://schemas.openxmlformats.org/drawingml/2006/picture">
                        <pic:nvPicPr>
                          <pic:cNvPr id="1073741841" name="Picture 17" descr="Picture 17"/>
                          <pic:cNvPicPr>
                            <a:picLocks noChangeAspect="1"/>
                          </pic:cNvPicPr>
                        </pic:nvPicPr>
                        <pic:blipFill>
                          <a:blip r:embed="rId24">
                            <a:extLst/>
                          </a:blip>
                          <a:stretch>
                            <a:fillRect/>
                          </a:stretch>
                        </pic:blipFill>
                        <pic:spPr>
                          <a:xfrm>
                            <a:off x="0" y="0"/>
                            <a:ext cx="1645920" cy="1645920"/>
                          </a:xfrm>
                          <a:prstGeom prst="rect">
                            <a:avLst/>
                          </a:prstGeom>
                          <a:ln w="12700" cap="flat">
                            <a:noFill/>
                            <a:miter lim="400000"/>
                          </a:ln>
                          <a:effectLst/>
                        </pic:spPr>
                      </pic:pic>
                    </a:graphicData>
                  </a:graphic>
                </wp:inline>
              </w:drawing>
            </w:r>
          </w:p>
        </w:tc>
      </w:tr>
      <w:tr>
        <w:tblPrEx>
          <w:shd w:val="clear" w:color="auto" w:fill="ced7e7"/>
        </w:tblPrEx>
        <w:trPr>
          <w:trHeight w:val="231" w:hRule="atLeast"/>
        </w:trPr>
        <w:tc>
          <w:tcPr>
            <w:tcW w:type="dxa" w:w="4394"/>
            <w:tcBorders>
              <w:top w:val="nil"/>
              <w:left w:val="nil"/>
              <w:bottom w:val="nil"/>
              <w:right w:val="nil"/>
            </w:tcBorders>
            <w:shd w:val="clear" w:color="auto" w:fill="auto"/>
            <w:tcMar>
              <w:top w:type="dxa" w:w="80"/>
              <w:left w:type="dxa" w:w="80"/>
              <w:bottom w:type="dxa" w:w="80"/>
              <w:right w:type="dxa" w:w="80"/>
            </w:tcMar>
            <w:vAlign w:val="top"/>
          </w:tcPr>
          <w:p>
            <w:pPr>
              <w:pStyle w:val="Body"/>
              <w:spacing w:before="40" w:after="240"/>
              <w:jc w:val="center"/>
            </w:pPr>
            <w:r>
              <w:rPr>
                <w:rFonts w:ascii="Times New Roman" w:hAnsi="Times New Roman"/>
                <w:b w:val="1"/>
                <w:bCs w:val="1"/>
                <w:shd w:val="nil" w:color="auto" w:fill="auto"/>
                <w:rtl w:val="0"/>
                <w:lang w:val="en-US"/>
              </w:rPr>
              <w:t>Sushant Kabbinada</w:t>
            </w:r>
          </w:p>
        </w:tc>
        <w:tc>
          <w:tcPr>
            <w:tcW w:type="dxa" w:w="4394"/>
            <w:tcBorders>
              <w:top w:val="nil"/>
              <w:left w:val="nil"/>
              <w:bottom w:val="nil"/>
              <w:right w:val="nil"/>
            </w:tcBorders>
            <w:shd w:val="clear" w:color="auto" w:fill="auto"/>
            <w:tcMar>
              <w:top w:type="dxa" w:w="80"/>
              <w:left w:type="dxa" w:w="80"/>
              <w:bottom w:type="dxa" w:w="80"/>
              <w:right w:type="dxa" w:w="80"/>
            </w:tcMar>
            <w:vAlign w:val="top"/>
          </w:tcPr>
          <w:p>
            <w:pPr>
              <w:pStyle w:val="Body"/>
              <w:spacing w:before="40" w:after="240"/>
              <w:jc w:val="center"/>
            </w:pPr>
            <w:r>
              <w:rPr>
                <w:rFonts w:ascii="Times New Roman" w:hAnsi="Times New Roman"/>
                <w:b w:val="1"/>
                <w:bCs w:val="1"/>
                <w:shd w:val="nil" w:color="auto" w:fill="auto"/>
                <w:rtl w:val="0"/>
                <w:lang w:val="en-US"/>
              </w:rPr>
              <w:t>Aditya Patil</w:t>
            </w:r>
          </w:p>
        </w:tc>
      </w:tr>
    </w:tbl>
    <w:p>
      <w:pPr>
        <w:pStyle w:val="Body"/>
        <w:widowControl w:val="0"/>
        <w:spacing w:after="120" w:line="240" w:lineRule="auto"/>
        <w:jc w:val="center"/>
      </w:pPr>
    </w:p>
    <w:p>
      <w:pPr>
        <w:pStyle w:val="Body"/>
        <w:spacing w:after="120" w:line="360" w:lineRule="auto"/>
        <w:jc w:val="both"/>
      </w:pPr>
    </w:p>
    <w:p>
      <w:pPr>
        <w:pStyle w:val="Body"/>
      </w:pPr>
      <w:r>
        <w:rPr>
          <w:rFonts w:ascii="Arial Unicode MS" w:cs="Arial Unicode MS" w:hAnsi="Arial Unicode MS" w:eastAsia="Arial Unicode MS"/>
          <w:b w:val="0"/>
          <w:bCs w:val="0"/>
          <w:i w:val="0"/>
          <w:iCs w:val="0"/>
        </w:rPr>
        <w:br w:type="page"/>
      </w:r>
    </w:p>
    <w:p>
      <w:pPr>
        <w:pStyle w:val="Body"/>
        <w:spacing w:before="360" w:after="0"/>
        <w:jc w:val="right"/>
      </w:pPr>
      <w:r>
        <w:rPr>
          <w:rFonts w:ascii="Times New Roman" w:hAnsi="Times New Roman"/>
          <w:b w:val="1"/>
          <w:bCs w:val="1"/>
          <w:i w:val="1"/>
          <w:iCs w:val="1"/>
          <w:sz w:val="28"/>
          <w:szCs w:val="28"/>
          <w:rtl w:val="0"/>
          <w:lang w:val="da-DK"/>
        </w:rPr>
        <w:t>Appendix B</w:t>
      </w:r>
    </w:p>
    <w:p>
      <w:pPr>
        <w:pStyle w:val="Body"/>
        <w:pBdr>
          <w:top w:val="nil"/>
          <w:left w:val="nil"/>
          <w:bottom w:val="single" w:color="aaaaaa" w:sz="6" w:space="0" w:shadow="0" w:frame="0"/>
          <w:right w:val="nil"/>
        </w:pBdr>
        <w:spacing w:before="40" w:after="280"/>
        <w:jc w:val="right"/>
      </w:pPr>
      <w:r>
        <w:rPr>
          <w:rFonts w:ascii="Times New Roman" w:hAnsi="Times New Roman"/>
          <w:b w:val="1"/>
          <w:bCs w:val="1"/>
          <w:sz w:val="28"/>
          <w:szCs w:val="28"/>
          <w:rtl w:val="0"/>
          <w:lang w:val="en-US"/>
        </w:rPr>
        <w:t>COS, POS AND PSOS MAPPING FOR THE PROJECT WORK</w:t>
      </w:r>
    </w:p>
    <w:p>
      <w:pPr>
        <w:pStyle w:val="Body"/>
        <w:spacing w:before="240" w:after="120"/>
      </w:pPr>
      <w:r>
        <w:rPr>
          <w:rFonts w:ascii="Times New Roman" w:hAnsi="Times New Roman"/>
          <w:b w:val="1"/>
          <w:bCs w:val="1"/>
          <w:sz w:val="24"/>
          <w:szCs w:val="24"/>
          <w:rtl w:val="0"/>
          <w:lang w:val="en-US"/>
        </w:rPr>
        <w:t>B.1 Course Outcomes (COs)</w:t>
      </w:r>
    </w:p>
    <w:p>
      <w:pPr>
        <w:pStyle w:val="Body"/>
        <w:spacing w:after="120" w:line="360" w:lineRule="auto"/>
        <w:jc w:val="both"/>
      </w:pPr>
      <w:r>
        <w:rPr>
          <w:rFonts w:ascii="Times New Roman" w:hAnsi="Times New Roman"/>
          <w:sz w:val="24"/>
          <w:szCs w:val="24"/>
          <w:rtl w:val="0"/>
          <w:lang w:val="en-US"/>
        </w:rPr>
        <w:t>The following Course Outcomes (COs) are defined for the Project Work (22CS83P).</w:t>
      </w:r>
      <w:r>
        <w:rPr>
          <w:rFonts w:ascii="Times New Roman" w:hAnsi="Times New Roman"/>
          <w:sz w:val="24"/>
          <w:szCs w:val="24"/>
          <w:rtl w:val="0"/>
          <w:lang w:val="en-US"/>
        </w:rPr>
      </w:r>
      <w:r>
        <w:rPr>
          <w:rFonts w:ascii="Times New Roman" w:hAnsi="Times New Roman"/>
          <w:sz w:val="24"/>
          <w:szCs w:val="24"/>
          <w:rtl w:val="0"/>
          <w:lang w:val="en-US"/>
        </w:rPr>
      </w:r>
    </w:p>
    <w:p>
      <w:pPr>
        <w:pStyle w:val="Body"/>
        <w:spacing w:before="160" w:after="80"/>
      </w:pPr>
      <w:r>
        <w:rPr>
          <w:rFonts w:ascii="Times New Roman" w:hAnsi="Times New Roman"/>
          <w:b w:val="1"/>
          <w:bCs w:val="1"/>
          <w:i w:val="1"/>
          <w:iCs w:val="1"/>
          <w:sz w:val="24"/>
          <w:szCs w:val="24"/>
          <w:rtl w:val="0"/>
          <w:lang w:val="en-US"/>
        </w:rPr>
        <w:t>CO1: Formulate the problem definition, conduct literature review and apply requirements analysis.</w:t>
      </w:r>
    </w:p>
    <w:p>
      <w:pPr>
        <w:pStyle w:val="Body"/>
        <w:spacing w:before="160" w:after="80"/>
      </w:pPr>
      <w:r>
        <w:rPr>
          <w:rFonts w:ascii="Times New Roman" w:hAnsi="Times New Roman"/>
          <w:b w:val="1"/>
          <w:bCs w:val="1"/>
          <w:i w:val="1"/>
          <w:iCs w:val="1"/>
          <w:sz w:val="24"/>
          <w:szCs w:val="24"/>
          <w:rtl w:val="0"/>
          <w:lang w:val="en-US"/>
        </w:rPr>
        <w:t>CO2: Develop and implement algorithms for solving the problem formulated.</w:t>
      </w:r>
    </w:p>
    <w:p>
      <w:pPr>
        <w:pStyle w:val="Body"/>
        <w:spacing w:before="160" w:after="80"/>
      </w:pPr>
      <w:r>
        <w:rPr>
          <w:rFonts w:ascii="Times New Roman" w:hAnsi="Times New Roman"/>
          <w:b w:val="1"/>
          <w:bCs w:val="1"/>
          <w:i w:val="1"/>
          <w:iCs w:val="1"/>
          <w:sz w:val="24"/>
          <w:szCs w:val="24"/>
          <w:rtl w:val="0"/>
          <w:lang w:val="en-US"/>
        </w:rPr>
        <w:t>CO3: Comprehend, present and defend the results of exhaustive testing and explain the major findings.</w:t>
      </w:r>
    </w:p>
    <w:p>
      <w:pPr>
        <w:pStyle w:val="Body"/>
        <w:spacing w:before="240" w:after="120"/>
      </w:pPr>
      <w:r>
        <w:rPr>
          <w:rFonts w:ascii="Times New Roman" w:hAnsi="Times New Roman"/>
          <w:b w:val="1"/>
          <w:bCs w:val="1"/>
          <w:sz w:val="24"/>
          <w:szCs w:val="24"/>
          <w:rtl w:val="0"/>
          <w:lang w:val="en-US"/>
        </w:rPr>
        <w:t>B.2 Program Outcomes (POs) and Program Specific Outcomes (PSOs)</w:t>
      </w:r>
    </w:p>
    <w:p>
      <w:pPr>
        <w:pStyle w:val="Body"/>
        <w:spacing w:after="120" w:line="360" w:lineRule="auto"/>
        <w:jc w:val="both"/>
      </w:pPr>
      <w:r>
        <w:rPr>
          <w:rFonts w:ascii="Times New Roman" w:hAnsi="Times New Roman"/>
          <w:sz w:val="24"/>
          <w:szCs w:val="24"/>
          <w:rtl w:val="0"/>
          <w:lang w:val="en-US"/>
        </w:rPr>
        <w:t>The following definitions apply to the PO and PSO columns in the mapping table. The scale used is: 0 = Not Applicable, 1 = Low relevance, 2 = Medium relevance, 3 = High relevance.</w:t>
      </w:r>
    </w:p>
    <w:p>
      <w:pPr>
        <w:pStyle w:val="Body"/>
        <w:spacing w:after="40" w:line="360" w:lineRule="auto"/>
      </w:pPr>
      <w:r>
        <w:rPr>
          <w:rFonts w:ascii="Times New Roman" w:hAnsi="Times New Roman"/>
          <w:b w:val="1"/>
          <w:bCs w:val="1"/>
          <w:rtl w:val="0"/>
        </w:rPr>
        <w:t xml:space="preserve">PO1: </w:t>
      </w:r>
      <w:r>
        <w:rPr>
          <w:rFonts w:ascii="Times New Roman" w:hAnsi="Times New Roman"/>
          <w:rtl w:val="0"/>
          <w:lang w:val="en-US"/>
        </w:rPr>
        <w:t>Apply knowledge of computing, mathematics, science, and foundational engineering concepts to solve computer engineering problems.</w:t>
      </w:r>
    </w:p>
    <w:p>
      <w:pPr>
        <w:pStyle w:val="Body"/>
        <w:spacing w:after="40" w:line="360" w:lineRule="auto"/>
      </w:pPr>
      <w:r>
        <w:rPr>
          <w:rFonts w:ascii="Times New Roman" w:hAnsi="Times New Roman"/>
          <w:b w:val="1"/>
          <w:bCs w:val="1"/>
          <w:rtl w:val="0"/>
        </w:rPr>
        <w:t xml:space="preserve">PO2: </w:t>
      </w:r>
      <w:r>
        <w:rPr>
          <w:rFonts w:ascii="Times New Roman" w:hAnsi="Times New Roman"/>
          <w:rtl w:val="0"/>
          <w:lang w:val="en-US"/>
        </w:rPr>
        <w:t>Identify, formulate and analyze complex engineering problems.</w:t>
      </w:r>
    </w:p>
    <w:p>
      <w:pPr>
        <w:pStyle w:val="Body"/>
        <w:spacing w:after="40" w:line="360" w:lineRule="auto"/>
      </w:pPr>
      <w:r>
        <w:rPr>
          <w:rFonts w:ascii="Times New Roman" w:hAnsi="Times New Roman"/>
          <w:b w:val="1"/>
          <w:bCs w:val="1"/>
          <w:rtl w:val="0"/>
        </w:rPr>
        <w:t xml:space="preserve">PO3: </w:t>
      </w:r>
      <w:r>
        <w:rPr>
          <w:rFonts w:ascii="Times New Roman" w:hAnsi="Times New Roman"/>
          <w:rtl w:val="0"/>
          <w:lang w:val="en-US"/>
        </w:rPr>
        <w:t>Plan, implement and evaluate a computer-based system to meet desired societal needs such as economic, environmental, political, healthcare and safety within realistic constraints.</w:t>
      </w:r>
    </w:p>
    <w:p>
      <w:pPr>
        <w:pStyle w:val="Body"/>
        <w:spacing w:after="40" w:line="360" w:lineRule="auto"/>
      </w:pPr>
      <w:r>
        <w:rPr>
          <w:rFonts w:ascii="Times New Roman" w:hAnsi="Times New Roman"/>
          <w:b w:val="1"/>
          <w:bCs w:val="1"/>
          <w:rtl w:val="0"/>
        </w:rPr>
        <w:t xml:space="preserve">PO4: </w:t>
      </w:r>
      <w:r>
        <w:rPr>
          <w:rFonts w:ascii="Times New Roman" w:hAnsi="Times New Roman"/>
          <w:rtl w:val="0"/>
          <w:lang w:val="en-US"/>
        </w:rPr>
        <w:t>Incorporate research methods to design and conduct experiments to investigate real-time problems, to analyze, interpret and provide feasible conclusions.</w:t>
      </w:r>
    </w:p>
    <w:p>
      <w:pPr>
        <w:pStyle w:val="Body"/>
        <w:spacing w:after="40" w:line="360" w:lineRule="auto"/>
      </w:pPr>
      <w:r>
        <w:rPr>
          <w:rFonts w:ascii="Times New Roman" w:hAnsi="Times New Roman"/>
          <w:b w:val="1"/>
          <w:bCs w:val="1"/>
          <w:rtl w:val="0"/>
        </w:rPr>
        <w:t xml:space="preserve">PO5: </w:t>
      </w:r>
      <w:r>
        <w:rPr>
          <w:rFonts w:ascii="Times New Roman" w:hAnsi="Times New Roman"/>
          <w:rtl w:val="0"/>
          <w:lang w:val="en-US"/>
        </w:rPr>
        <w:t>Propose innovative ideas and solutions using modern tools.</w:t>
      </w:r>
    </w:p>
    <w:p>
      <w:pPr>
        <w:pStyle w:val="Body"/>
        <w:spacing w:after="40" w:line="360" w:lineRule="auto"/>
      </w:pPr>
      <w:r>
        <w:rPr>
          <w:rFonts w:ascii="Times New Roman" w:hAnsi="Times New Roman"/>
          <w:b w:val="1"/>
          <w:bCs w:val="1"/>
          <w:rtl w:val="0"/>
        </w:rPr>
        <w:t xml:space="preserve">PO6: </w:t>
      </w:r>
      <w:r>
        <w:rPr>
          <w:rFonts w:ascii="Times New Roman" w:hAnsi="Times New Roman"/>
          <w:rtl w:val="0"/>
          <w:lang w:val="en-US"/>
        </w:rPr>
        <w:t>Apply computing knowledge to assess societal, health, safety, legal and cultural issues and the consequent responsibilities relevant to professional engineering practice.</w:t>
      </w:r>
    </w:p>
    <w:p>
      <w:pPr>
        <w:pStyle w:val="Body"/>
        <w:spacing w:after="40" w:line="360" w:lineRule="auto"/>
      </w:pPr>
      <w:r>
        <w:rPr>
          <w:rFonts w:ascii="Times New Roman" w:hAnsi="Times New Roman"/>
          <w:b w:val="1"/>
          <w:bCs w:val="1"/>
          <w:rtl w:val="0"/>
        </w:rPr>
        <w:t xml:space="preserve">PO7: </w:t>
      </w:r>
      <w:r>
        <w:rPr>
          <w:rFonts w:ascii="Times New Roman" w:hAnsi="Times New Roman"/>
          <w:rtl w:val="0"/>
          <w:lang w:val="en-US"/>
        </w:rPr>
        <w:t>Analyze the local and global impact of computing on individuals and organizations for sustainable development.</w:t>
      </w:r>
    </w:p>
    <w:p>
      <w:pPr>
        <w:pStyle w:val="Body"/>
        <w:spacing w:after="40" w:line="360" w:lineRule="auto"/>
      </w:pPr>
      <w:r>
        <w:rPr>
          <w:rFonts w:ascii="Times New Roman" w:hAnsi="Times New Roman"/>
          <w:b w:val="1"/>
          <w:bCs w:val="1"/>
          <w:rtl w:val="0"/>
        </w:rPr>
        <w:t xml:space="preserve">PO8: </w:t>
      </w:r>
      <w:r>
        <w:rPr>
          <w:rFonts w:ascii="Times New Roman" w:hAnsi="Times New Roman"/>
          <w:rtl w:val="0"/>
          <w:lang w:val="en-US"/>
        </w:rPr>
        <w:t>Adopt ethical principles and uphold the responsibilities and norms of computer engineering practice.</w:t>
      </w:r>
    </w:p>
    <w:p>
      <w:pPr>
        <w:pStyle w:val="Body"/>
        <w:spacing w:after="40" w:line="360" w:lineRule="auto"/>
      </w:pPr>
      <w:r>
        <w:rPr>
          <w:rFonts w:ascii="Times New Roman" w:hAnsi="Times New Roman"/>
          <w:b w:val="1"/>
          <w:bCs w:val="1"/>
          <w:rtl w:val="0"/>
        </w:rPr>
        <w:t xml:space="preserve">PO9: </w:t>
      </w:r>
      <w:r>
        <w:rPr>
          <w:rFonts w:ascii="Times New Roman" w:hAnsi="Times New Roman"/>
          <w:rtl w:val="0"/>
          <w:lang w:val="en-US"/>
        </w:rPr>
        <w:t>Work effectively as an individual and as a member or leader in diverse teams and in multidisciplinary domains.</w:t>
      </w:r>
    </w:p>
    <w:p>
      <w:pPr>
        <w:pStyle w:val="Body"/>
        <w:spacing w:after="40" w:line="360" w:lineRule="auto"/>
      </w:pPr>
      <w:r>
        <w:rPr>
          <w:rFonts w:ascii="Times New Roman" w:hAnsi="Times New Roman"/>
          <w:b w:val="1"/>
          <w:bCs w:val="1"/>
          <w:rtl w:val="0"/>
        </w:rPr>
        <w:t xml:space="preserve">PO10: </w:t>
      </w:r>
      <w:r>
        <w:rPr>
          <w:rFonts w:ascii="Times New Roman" w:hAnsi="Times New Roman"/>
          <w:rtl w:val="0"/>
          <w:lang w:val="en-US"/>
        </w:rPr>
        <w:t>Effectively communicate and comprehend.</w:t>
      </w:r>
    </w:p>
    <w:p>
      <w:pPr>
        <w:pStyle w:val="Body"/>
        <w:spacing w:after="40" w:line="360" w:lineRule="auto"/>
      </w:pPr>
      <w:r>
        <w:rPr>
          <w:rFonts w:ascii="Times New Roman" w:hAnsi="Times New Roman"/>
          <w:b w:val="1"/>
          <w:bCs w:val="1"/>
          <w:rtl w:val="0"/>
        </w:rPr>
        <w:t xml:space="preserve">PO11: </w:t>
      </w:r>
      <w:r>
        <w:rPr>
          <w:rFonts w:ascii="Times New Roman" w:hAnsi="Times New Roman"/>
          <w:rtl w:val="0"/>
          <w:lang w:val="en-US"/>
        </w:rPr>
        <w:t>Demonstrate and apply engineering knowledge and management principles to manage projects in multidisciplinary environments.</w:t>
      </w:r>
    </w:p>
    <w:p>
      <w:pPr>
        <w:pStyle w:val="Body"/>
        <w:spacing w:after="40" w:line="360" w:lineRule="auto"/>
      </w:pPr>
      <w:r>
        <w:rPr>
          <w:rFonts w:ascii="Times New Roman" w:hAnsi="Times New Roman"/>
          <w:b w:val="1"/>
          <w:bCs w:val="1"/>
          <w:rtl w:val="0"/>
        </w:rPr>
        <w:t xml:space="preserve">PO12: </w:t>
      </w:r>
      <w:r>
        <w:rPr>
          <w:rFonts w:ascii="Times New Roman" w:hAnsi="Times New Roman"/>
          <w:rtl w:val="0"/>
          <w:lang w:val="en-US"/>
        </w:rPr>
        <w:t>Recognize contemporary issues and adapt to technological changes for lifelong learning.</w:t>
      </w:r>
    </w:p>
    <w:p>
      <w:pPr>
        <w:pStyle w:val="Body"/>
        <w:spacing w:after="40" w:line="360" w:lineRule="auto"/>
      </w:pPr>
      <w:r>
        <w:rPr>
          <w:rFonts w:ascii="Times New Roman" w:hAnsi="Times New Roman"/>
          <w:b w:val="1"/>
          <w:bCs w:val="1"/>
          <w:rtl w:val="0"/>
          <w:lang w:val="es-ES_tradnl"/>
        </w:rPr>
        <w:t xml:space="preserve">PSO1: </w:t>
      </w:r>
      <w:r>
        <w:rPr>
          <w:rFonts w:ascii="Times New Roman" w:hAnsi="Times New Roman"/>
          <w:rtl w:val="0"/>
          <w:lang w:val="en-US"/>
        </w:rPr>
        <w:t>Problem Solving Skills: Ability to apply standard practices and mathematical methodologies to solve computational tasks, model real world problems in the areas of database systems, system software, web technologies and Networking solutions with an appropriate knowledge of Data structures and Algorithms.</w:t>
      </w:r>
    </w:p>
    <w:p>
      <w:pPr>
        <w:pStyle w:val="Body"/>
        <w:spacing w:after="40" w:line="360" w:lineRule="auto"/>
      </w:pPr>
      <w:r>
        <w:rPr>
          <w:rFonts w:ascii="Times New Roman" w:hAnsi="Times New Roman"/>
          <w:b w:val="1"/>
          <w:bCs w:val="1"/>
          <w:rtl w:val="0"/>
          <w:lang w:val="es-ES_tradnl"/>
        </w:rPr>
        <w:t xml:space="preserve">PSO2: </w:t>
      </w:r>
      <w:r>
        <w:rPr>
          <w:rFonts w:ascii="Times New Roman" w:hAnsi="Times New Roman"/>
          <w:rtl w:val="0"/>
          <w:lang w:val="en-US"/>
        </w:rPr>
        <w:t>Knowledge of Computer Systems: An understanding of the structure and working of the computer systems with performance study of various computing architectures.</w:t>
      </w:r>
    </w:p>
    <w:p>
      <w:pPr>
        <w:pStyle w:val="Body"/>
        <w:spacing w:after="40" w:line="360" w:lineRule="auto"/>
      </w:pPr>
      <w:r>
        <w:rPr>
          <w:rFonts w:ascii="Times New Roman" w:hAnsi="Times New Roman"/>
          <w:b w:val="1"/>
          <w:bCs w:val="1"/>
          <w:rtl w:val="0"/>
          <w:lang w:val="es-ES_tradnl"/>
        </w:rPr>
        <w:t xml:space="preserve">PSO3: </w:t>
      </w:r>
      <w:r>
        <w:rPr>
          <w:rFonts w:ascii="Times New Roman" w:hAnsi="Times New Roman"/>
          <w:rtl w:val="0"/>
          <w:lang w:val="en-US"/>
        </w:rPr>
        <w:t>Successful Career and Entrepreneurship: The ability to get acquainted with the state-of-the-art software technologies leading to entrepreneurship and higher studies.</w:t>
      </w:r>
    </w:p>
    <w:p>
      <w:pPr>
        <w:pStyle w:val="Body"/>
        <w:spacing w:after="40" w:line="360" w:lineRule="auto"/>
      </w:pPr>
      <w:r>
        <w:rPr>
          <w:rFonts w:ascii="Times New Roman" w:hAnsi="Times New Roman"/>
          <w:b w:val="1"/>
          <w:bCs w:val="1"/>
          <w:rtl w:val="0"/>
          <w:lang w:val="es-ES_tradnl"/>
        </w:rPr>
        <w:t xml:space="preserve">PSO4: </w:t>
      </w:r>
      <w:r>
        <w:rPr>
          <w:rFonts w:ascii="Times New Roman" w:hAnsi="Times New Roman"/>
          <w:rtl w:val="0"/>
          <w:lang w:val="en-US"/>
        </w:rPr>
        <w:t>Computing and Research Ability: Ability to use knowledge in various domains to identify research gaps and to provide solutions to new ideas leading to innovations.</w:t>
      </w:r>
    </w:p>
    <w:p>
      <w:pPr>
        <w:pStyle w:val="Body"/>
        <w:spacing w:after="120" w:line="360" w:lineRule="auto"/>
        <w:jc w:val="both"/>
      </w:pPr>
    </w:p>
    <w:p/>
    <w:p>
      <w:pPr>
        <w:spacing w:line="360" w:lineRule="auto"/>
      </w:pPr>
      <w:r>
        <w:rPr>
          <w:rFonts w:ascii="Times New Roman" w:hAnsi="Times New Roman" w:cs="Times New Roman"/>
          <w:b/>
          <w:sz w:val="24"/>
        </w:rPr>
        <w:t xml:space="preserve">Justification for CO-PO and PSO Mapping</w:t>
      </w:r>
    </w:p>
    <w:p>
      <w:pPr>
        <w:spacing w:line="360" w:lineRule="auto"/>
      </w:pPr>
      <w:r>
        <w:rPr>
          <w:rFonts w:ascii="Times New Roman" w:hAnsi="Times New Roman" w:cs="Times New Roman"/>
          <w:sz w:val="24"/>
        </w:rPr>
        <w:t xml:space="preserve">The CO-PO and CO-PSO mapping presented in Table B.1 reflects the extent to which each Course Outcome is supported by the Programme Outcomes and Programme Specific Outcomes defined for the B.E. Computer Science and Engineering programme at JSS Science and Technology University. The mapping is rated on a three-point scale: 3 (High), 2 (Medium), 1 (Low), and 0 (Not Applicable). CO1, which covers problem formulation, literature review, and requirements analysis, maps strongly to PO1 (engineering knowledge), PO2 (problem analysis), and PO4 (research methods), as the project required an extensive review of ACMG/AMP guidelines and multi-source data integration. CO2, which addresses algorithm development and implementation, maps at high strength to PO3 (design solutions), PO5 (modern tools), and PSO1 (problem-solving skills), reflecting the ten-layer AI pipeline implemented using XGBoost, TreeSHAP, FAISS, and a large language model. CO3, covering testing, result presentation, and defence of findings, aligns with PO11 (project management), PSO3 (career readiness), and PSO4 (research ability), as demonstrated by the 200-test-case validation programme achieving 100% pass rate across all five test suites.</w:t>
      </w:r>
    </w:p>
    <w:p/>
    <w:p>
      <w:pPr>
        <w:pStyle w:val="Body"/>
        <w:spacing w:before="240" w:after="120"/>
      </w:pPr>
      <w:r>
        <w:rPr>
          <w:rFonts w:ascii="Times New Roman" w:hAnsi="Times New Roman"/>
          <w:b w:val="1"/>
          <w:bCs w:val="1"/>
          <w:sz w:val="24"/>
          <w:szCs w:val="24"/>
          <w:rtl w:val="0"/>
          <w:lang w:val="en-US"/>
        </w:rPr>
        <w:t>B.3 Mapping Table: CO, PO and PSO</w:t>
      </w:r>
    </w:p>
    <w:p>
      <w:pPr>
        <w:pStyle w:val="Body"/>
        <w:jc w:val="center"/>
      </w:pPr>
      <w:r>
        <w:rPr>
          <w:rFonts w:ascii="Times New Roman" w:hAnsi="Times New Roman"/>
          <w:b w:val="1"/>
          <w:bCs w:val="1"/>
          <w:sz w:val="24"/>
          <w:szCs w:val="24"/>
          <w:rtl w:val="0"/>
          <w:lang w:val="en-US"/>
        </w:rPr>
        <w:t>Table of Mapping of CO, PO and PSO:</w:t>
      </w:r>
    </w:p>
    <w:tbl>
      <w:tblPr>
        <w:tblW w:w="879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3"/>
        <w:gridCol w:w="463"/>
        <w:gridCol w:w="463"/>
        <w:gridCol w:w="463"/>
        <w:gridCol w:w="463"/>
        <w:gridCol w:w="463"/>
        <w:gridCol w:w="462"/>
        <w:gridCol w:w="463"/>
        <w:gridCol w:w="463"/>
        <w:gridCol w:w="463"/>
        <w:gridCol w:w="463"/>
        <w:gridCol w:w="463"/>
        <w:gridCol w:w="463"/>
        <w:gridCol w:w="463"/>
        <w:gridCol w:w="463"/>
        <w:gridCol w:w="463"/>
        <w:gridCol w:w="463"/>
        <w:gridCol w:w="463"/>
        <w:gridCol w:w="463"/>
      </w:tblGrid>
      <w:tr>
        <w:tblPrEx>
          <w:shd w:val="clear" w:color="auto" w:fill="ced7e7"/>
        </w:tblPrEx>
        <w:trPr>
          <w:trHeight w:val="889" w:hRule="atLeast"/>
        </w:trPr>
        <w:tc>
          <w:tcPr>
            <w:tcW w:type="dxa" w:w="4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b w:val="1"/>
                <w:bCs w:val="1"/>
                <w:sz w:val="18"/>
                <w:szCs w:val="18"/>
                <w:shd w:val="nil" w:color="auto" w:fill="auto"/>
                <w:rtl w:val="0"/>
                <w:lang w:val="en-US"/>
              </w:rPr>
              <w:t>SUBJECT</w:t>
            </w:r>
          </w:p>
        </w:tc>
        <w:tc>
          <w:tcPr>
            <w:tcW w:type="dxa" w:w="4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b w:val="1"/>
                <w:bCs w:val="1"/>
                <w:sz w:val="18"/>
                <w:szCs w:val="18"/>
                <w:shd w:val="nil" w:color="auto" w:fill="auto"/>
                <w:rtl w:val="0"/>
                <w:lang w:val="en-US"/>
              </w:rPr>
              <w:t>CODE</w:t>
            </w:r>
          </w:p>
        </w:tc>
        <w:tc>
          <w:tcPr>
            <w:tcW w:type="dxa" w:w="4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b w:val="1"/>
                <w:bCs w:val="1"/>
                <w:sz w:val="18"/>
                <w:szCs w:val="18"/>
                <w:shd w:val="nil" w:color="auto" w:fill="auto"/>
                <w:rtl w:val="0"/>
                <w:lang w:val="en-US"/>
              </w:rPr>
              <w:t>CO</w:t>
            </w:r>
          </w:p>
        </w:tc>
        <w:tc>
          <w:tcPr>
            <w:tcW w:type="dxa" w:w="4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b w:val="1"/>
                <w:bCs w:val="1"/>
                <w:sz w:val="18"/>
                <w:szCs w:val="18"/>
                <w:shd w:val="nil" w:color="auto" w:fill="auto"/>
                <w:rtl w:val="0"/>
                <w:lang w:val="en-US"/>
              </w:rPr>
              <w:t>PO1</w:t>
            </w:r>
          </w:p>
        </w:tc>
        <w:tc>
          <w:tcPr>
            <w:tcW w:type="dxa" w:w="4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b w:val="1"/>
                <w:bCs w:val="1"/>
                <w:sz w:val="18"/>
                <w:szCs w:val="18"/>
                <w:shd w:val="nil" w:color="auto" w:fill="auto"/>
                <w:rtl w:val="0"/>
                <w:lang w:val="en-US"/>
              </w:rPr>
              <w:t>PO2</w:t>
            </w:r>
          </w:p>
        </w:tc>
        <w:tc>
          <w:tcPr>
            <w:tcW w:type="dxa" w:w="4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b w:val="1"/>
                <w:bCs w:val="1"/>
                <w:sz w:val="18"/>
                <w:szCs w:val="18"/>
                <w:shd w:val="nil" w:color="auto" w:fill="auto"/>
                <w:rtl w:val="0"/>
                <w:lang w:val="en-US"/>
              </w:rPr>
              <w:t>PO3</w:t>
            </w:r>
          </w:p>
        </w:tc>
        <w:tc>
          <w:tcPr>
            <w:tcW w:type="dxa" w:w="4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b w:val="1"/>
                <w:bCs w:val="1"/>
                <w:sz w:val="18"/>
                <w:szCs w:val="18"/>
                <w:shd w:val="nil" w:color="auto" w:fill="auto"/>
                <w:rtl w:val="0"/>
                <w:lang w:val="en-US"/>
              </w:rPr>
              <w:t>PO4</w:t>
            </w:r>
          </w:p>
        </w:tc>
        <w:tc>
          <w:tcPr>
            <w:tcW w:type="dxa" w:w="4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b w:val="1"/>
                <w:bCs w:val="1"/>
                <w:sz w:val="18"/>
                <w:szCs w:val="18"/>
                <w:shd w:val="nil" w:color="auto" w:fill="auto"/>
                <w:rtl w:val="0"/>
                <w:lang w:val="en-US"/>
              </w:rPr>
              <w:t>PO5</w:t>
            </w:r>
          </w:p>
        </w:tc>
        <w:tc>
          <w:tcPr>
            <w:tcW w:type="dxa" w:w="4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b w:val="1"/>
                <w:bCs w:val="1"/>
                <w:sz w:val="18"/>
                <w:szCs w:val="18"/>
                <w:shd w:val="nil" w:color="auto" w:fill="auto"/>
                <w:rtl w:val="0"/>
                <w:lang w:val="en-US"/>
              </w:rPr>
              <w:t>PO6</w:t>
            </w:r>
          </w:p>
        </w:tc>
        <w:tc>
          <w:tcPr>
            <w:tcW w:type="dxa" w:w="4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b w:val="1"/>
                <w:bCs w:val="1"/>
                <w:sz w:val="18"/>
                <w:szCs w:val="18"/>
                <w:shd w:val="nil" w:color="auto" w:fill="auto"/>
                <w:rtl w:val="0"/>
                <w:lang w:val="en-US"/>
              </w:rPr>
              <w:t>PO7</w:t>
            </w:r>
          </w:p>
        </w:tc>
        <w:tc>
          <w:tcPr>
            <w:tcW w:type="dxa" w:w="4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b w:val="1"/>
                <w:bCs w:val="1"/>
                <w:sz w:val="18"/>
                <w:szCs w:val="18"/>
                <w:shd w:val="nil" w:color="auto" w:fill="auto"/>
                <w:rtl w:val="0"/>
                <w:lang w:val="en-US"/>
              </w:rPr>
              <w:t>PO8</w:t>
            </w:r>
          </w:p>
        </w:tc>
        <w:tc>
          <w:tcPr>
            <w:tcW w:type="dxa" w:w="4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b w:val="1"/>
                <w:bCs w:val="1"/>
                <w:sz w:val="18"/>
                <w:szCs w:val="18"/>
                <w:shd w:val="nil" w:color="auto" w:fill="auto"/>
                <w:rtl w:val="0"/>
                <w:lang w:val="en-US"/>
              </w:rPr>
              <w:t>PO9</w:t>
            </w:r>
          </w:p>
        </w:tc>
        <w:tc>
          <w:tcPr>
            <w:tcW w:type="dxa" w:w="4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b w:val="1"/>
                <w:bCs w:val="1"/>
                <w:sz w:val="18"/>
                <w:szCs w:val="18"/>
                <w:shd w:val="nil" w:color="auto" w:fill="auto"/>
                <w:rtl w:val="0"/>
                <w:lang w:val="en-US"/>
              </w:rPr>
              <w:t>PO10</w:t>
            </w:r>
          </w:p>
        </w:tc>
        <w:tc>
          <w:tcPr>
            <w:tcW w:type="dxa" w:w="4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b w:val="1"/>
                <w:bCs w:val="1"/>
                <w:sz w:val="18"/>
                <w:szCs w:val="18"/>
                <w:shd w:val="nil" w:color="auto" w:fill="auto"/>
                <w:rtl w:val="0"/>
                <w:lang w:val="en-US"/>
              </w:rPr>
              <w:t>PO11</w:t>
            </w:r>
          </w:p>
        </w:tc>
        <w:tc>
          <w:tcPr>
            <w:tcW w:type="dxa" w:w="4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b w:val="1"/>
                <w:bCs w:val="1"/>
                <w:sz w:val="18"/>
                <w:szCs w:val="18"/>
                <w:shd w:val="nil" w:color="auto" w:fill="auto"/>
                <w:rtl w:val="0"/>
                <w:lang w:val="en-US"/>
              </w:rPr>
              <w:t>PO12</w:t>
            </w:r>
          </w:p>
        </w:tc>
        <w:tc>
          <w:tcPr>
            <w:tcW w:type="dxa" w:w="4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b w:val="1"/>
                <w:bCs w:val="1"/>
                <w:sz w:val="18"/>
                <w:szCs w:val="18"/>
                <w:shd w:val="nil" w:color="auto" w:fill="auto"/>
                <w:rtl w:val="0"/>
                <w:lang w:val="en-US"/>
              </w:rPr>
              <w:t>PSO1</w:t>
            </w:r>
          </w:p>
        </w:tc>
        <w:tc>
          <w:tcPr>
            <w:tcW w:type="dxa" w:w="4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b w:val="1"/>
                <w:bCs w:val="1"/>
                <w:sz w:val="18"/>
                <w:szCs w:val="18"/>
                <w:shd w:val="nil" w:color="auto" w:fill="auto"/>
                <w:rtl w:val="0"/>
                <w:lang w:val="en-US"/>
              </w:rPr>
              <w:t>PSO2</w:t>
            </w:r>
          </w:p>
        </w:tc>
        <w:tc>
          <w:tcPr>
            <w:tcW w:type="dxa" w:w="4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b w:val="1"/>
                <w:bCs w:val="1"/>
                <w:sz w:val="18"/>
                <w:szCs w:val="18"/>
                <w:shd w:val="nil" w:color="auto" w:fill="auto"/>
                <w:rtl w:val="0"/>
                <w:lang w:val="en-US"/>
              </w:rPr>
              <w:t>PSO3</w:t>
            </w:r>
          </w:p>
        </w:tc>
        <w:tc>
          <w:tcPr>
            <w:tcW w:type="dxa" w:w="4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b w:val="1"/>
                <w:bCs w:val="1"/>
                <w:sz w:val="18"/>
                <w:szCs w:val="18"/>
                <w:shd w:val="nil" w:color="auto" w:fill="auto"/>
                <w:rtl w:val="0"/>
                <w:lang w:val="en-US"/>
              </w:rPr>
              <w:t>PSO4</w:t>
            </w:r>
          </w:p>
        </w:tc>
      </w:tr>
      <w:tr>
        <w:tblPrEx>
          <w:shd w:val="clear" w:color="auto" w:fill="ced7e7"/>
        </w:tblPrEx>
        <w:trPr>
          <w:trHeight w:val="802" w:hRule="atLeast"/>
        </w:trPr>
        <w:tc>
          <w:tcPr>
            <w:tcW w:type="dxa" w:w="4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sz w:val="18"/>
                <w:szCs w:val="18"/>
                <w:shd w:val="nil" w:color="auto" w:fill="auto"/>
                <w:rtl w:val="0"/>
                <w:lang w:val="en-US"/>
              </w:rPr>
              <w:t>Project Work</w:t>
            </w:r>
          </w:p>
        </w:tc>
        <w:tc>
          <w:tcPr>
            <w:tcW w:type="dxa" w:w="4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sz w:val="18"/>
                <w:szCs w:val="18"/>
                <w:shd w:val="nil" w:color="auto" w:fill="auto"/>
                <w:rtl w:val="0"/>
                <w:lang w:val="en-US"/>
              </w:rPr>
              <w:t>2</w:t>
            </w:r>
            <w:r>
              <w:rPr>
                <w:rFonts w:ascii="Times New Roman" w:hAnsi="Times New Roman"/>
                <w:sz w:val="18"/>
                <w:szCs w:val="18"/>
                <w:shd w:val="nil" w:color="auto" w:fill="auto"/>
                <w:rtl w:val="0"/>
                <w:lang w:val="en-US"/>
              </w:rPr>
              <w:t>2</w:t>
            </w:r>
            <w:r>
              <w:rPr>
                <w:rFonts w:ascii="Times New Roman" w:hAnsi="Times New Roman"/>
                <w:sz w:val="18"/>
                <w:szCs w:val="18"/>
                <w:shd w:val="nil" w:color="auto" w:fill="auto"/>
                <w:rtl w:val="0"/>
                <w:lang w:val="en-US"/>
              </w:rPr>
              <w:t>CS83P</w:t>
            </w:r>
          </w:p>
        </w:tc>
        <w:tc>
          <w:tcPr>
            <w:tcW w:type="dxa" w:w="4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sz w:val="18"/>
                <w:szCs w:val="18"/>
                <w:shd w:val="nil" w:color="auto" w:fill="auto"/>
                <w:rtl w:val="0"/>
                <w:lang w:val="en-US"/>
              </w:rPr>
              <w:t>CO1</w:t>
            </w:r>
          </w:p>
        </w:tc>
        <w:tc>
          <w:tcPr>
            <w:tcW w:type="dxa" w:w="4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sz w:val="18"/>
                <w:szCs w:val="18"/>
                <w:shd w:val="nil" w:color="auto" w:fill="auto"/>
                <w:rtl w:val="0"/>
                <w:lang w:val="en-US"/>
              </w:rPr>
              <w:t>3</w:t>
            </w:r>
          </w:p>
        </w:tc>
        <w:tc>
          <w:tcPr>
            <w:tcW w:type="dxa" w:w="4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sz w:val="18"/>
                <w:szCs w:val="18"/>
                <w:shd w:val="nil" w:color="auto" w:fill="auto"/>
                <w:rtl w:val="0"/>
                <w:lang w:val="en-US"/>
              </w:rPr>
              <w:t>3</w:t>
            </w:r>
          </w:p>
        </w:tc>
        <w:tc>
          <w:tcPr>
            <w:tcW w:type="dxa" w:w="4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sz w:val="18"/>
                <w:szCs w:val="18"/>
                <w:shd w:val="nil" w:color="auto" w:fill="auto"/>
                <w:rtl w:val="0"/>
                <w:lang w:val="en-US"/>
              </w:rPr>
              <w:t>2</w:t>
            </w:r>
          </w:p>
        </w:tc>
        <w:tc>
          <w:tcPr>
            <w:tcW w:type="dxa" w:w="4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sz w:val="18"/>
                <w:szCs w:val="18"/>
                <w:shd w:val="nil" w:color="auto" w:fill="auto"/>
                <w:rtl w:val="0"/>
                <w:lang w:val="en-US"/>
              </w:rPr>
              <w:t>2</w:t>
            </w:r>
          </w:p>
        </w:tc>
        <w:tc>
          <w:tcPr>
            <w:tcW w:type="dxa" w:w="4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sz w:val="18"/>
                <w:szCs w:val="18"/>
                <w:shd w:val="nil" w:color="auto" w:fill="auto"/>
                <w:rtl w:val="0"/>
                <w:lang w:val="en-US"/>
              </w:rPr>
              <w:t>2</w:t>
            </w:r>
          </w:p>
        </w:tc>
        <w:tc>
          <w:tcPr>
            <w:tcW w:type="dxa" w:w="4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sz w:val="18"/>
                <w:szCs w:val="18"/>
                <w:shd w:val="nil" w:color="auto" w:fill="auto"/>
                <w:rtl w:val="0"/>
                <w:lang w:val="en-US"/>
              </w:rPr>
              <w:t>2</w:t>
            </w:r>
          </w:p>
        </w:tc>
        <w:tc>
          <w:tcPr>
            <w:tcW w:type="dxa" w:w="4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sz w:val="18"/>
                <w:szCs w:val="18"/>
                <w:shd w:val="nil" w:color="auto" w:fill="auto"/>
                <w:rtl w:val="0"/>
                <w:lang w:val="en-US"/>
              </w:rPr>
              <w:t>1</w:t>
            </w:r>
          </w:p>
        </w:tc>
        <w:tc>
          <w:tcPr>
            <w:tcW w:type="dxa" w:w="4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sz w:val="18"/>
                <w:szCs w:val="18"/>
                <w:shd w:val="nil" w:color="auto" w:fill="auto"/>
                <w:rtl w:val="0"/>
                <w:lang w:val="en-US"/>
              </w:rPr>
              <w:t>1</w:t>
            </w:r>
          </w:p>
        </w:tc>
        <w:tc>
          <w:tcPr>
            <w:tcW w:type="dxa" w:w="4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sz w:val="18"/>
                <w:szCs w:val="18"/>
                <w:shd w:val="nil" w:color="auto" w:fill="auto"/>
                <w:rtl w:val="0"/>
                <w:lang w:val="en-US"/>
              </w:rPr>
              <w:t>2</w:t>
            </w:r>
          </w:p>
        </w:tc>
        <w:tc>
          <w:tcPr>
            <w:tcW w:type="dxa" w:w="4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sz w:val="18"/>
                <w:szCs w:val="18"/>
                <w:shd w:val="nil" w:color="auto" w:fill="auto"/>
                <w:rtl w:val="0"/>
                <w:lang w:val="en-US"/>
              </w:rPr>
              <w:t>2</w:t>
            </w:r>
          </w:p>
        </w:tc>
        <w:tc>
          <w:tcPr>
            <w:tcW w:type="dxa" w:w="4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sz w:val="18"/>
                <w:szCs w:val="18"/>
                <w:shd w:val="nil" w:color="auto" w:fill="auto"/>
                <w:rtl w:val="0"/>
                <w:lang w:val="en-US"/>
              </w:rPr>
              <w:t>1</w:t>
            </w:r>
          </w:p>
        </w:tc>
        <w:tc>
          <w:tcPr>
            <w:tcW w:type="dxa" w:w="4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sz w:val="18"/>
                <w:szCs w:val="18"/>
                <w:shd w:val="nil" w:color="auto" w:fill="auto"/>
                <w:rtl w:val="0"/>
                <w:lang w:val="en-US"/>
              </w:rPr>
              <w:t>2</w:t>
            </w:r>
          </w:p>
        </w:tc>
        <w:tc>
          <w:tcPr>
            <w:tcW w:type="dxa" w:w="4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sz w:val="18"/>
                <w:szCs w:val="18"/>
                <w:shd w:val="nil" w:color="auto" w:fill="auto"/>
                <w:rtl w:val="0"/>
                <w:lang w:val="en-US"/>
              </w:rPr>
              <w:t>3</w:t>
            </w:r>
          </w:p>
        </w:tc>
        <w:tc>
          <w:tcPr>
            <w:tcW w:type="dxa" w:w="4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sz w:val="18"/>
                <w:szCs w:val="18"/>
                <w:shd w:val="nil" w:color="auto" w:fill="auto"/>
                <w:rtl w:val="0"/>
                <w:lang w:val="en-US"/>
              </w:rPr>
              <w:t>2</w:t>
            </w:r>
          </w:p>
        </w:tc>
        <w:tc>
          <w:tcPr>
            <w:tcW w:type="dxa" w:w="4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sz w:val="18"/>
                <w:szCs w:val="18"/>
                <w:shd w:val="nil" w:color="auto" w:fill="auto"/>
                <w:rtl w:val="0"/>
                <w:lang w:val="en-US"/>
              </w:rPr>
              <w:t>2</w:t>
            </w:r>
          </w:p>
        </w:tc>
        <w:tc>
          <w:tcPr>
            <w:tcW w:type="dxa" w:w="4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sz w:val="18"/>
                <w:szCs w:val="18"/>
                <w:shd w:val="nil" w:color="auto" w:fill="auto"/>
                <w:rtl w:val="0"/>
                <w:lang w:val="en-US"/>
              </w:rPr>
              <w:t>2</w:t>
            </w:r>
          </w:p>
        </w:tc>
      </w:tr>
      <w:tr>
        <w:tblPrEx>
          <w:shd w:val="clear" w:color="auto" w:fill="ced7e7"/>
        </w:tblPrEx>
        <w:trPr>
          <w:trHeight w:val="402" w:hRule="atLeast"/>
        </w:trPr>
        <w:tc>
          <w:tcPr>
            <w:tcW w:type="dxa" w:w="4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sz w:val="18"/>
                <w:szCs w:val="18"/>
                <w:shd w:val="nil" w:color="auto" w:fill="auto"/>
                <w:rtl w:val="0"/>
                <w:lang w:val="en-US"/>
              </w:rPr>
              <w:t>CO2</w:t>
            </w:r>
          </w:p>
        </w:tc>
        <w:tc>
          <w:tcPr>
            <w:tcW w:type="dxa" w:w="4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sz w:val="18"/>
                <w:szCs w:val="18"/>
                <w:shd w:val="nil" w:color="auto" w:fill="auto"/>
                <w:rtl w:val="0"/>
                <w:lang w:val="en-US"/>
              </w:rPr>
              <w:t>3</w:t>
            </w:r>
          </w:p>
        </w:tc>
        <w:tc>
          <w:tcPr>
            <w:tcW w:type="dxa" w:w="4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sz w:val="18"/>
                <w:szCs w:val="18"/>
                <w:shd w:val="nil" w:color="auto" w:fill="auto"/>
                <w:rtl w:val="0"/>
                <w:lang w:val="en-US"/>
              </w:rPr>
              <w:t>3</w:t>
            </w:r>
          </w:p>
        </w:tc>
        <w:tc>
          <w:tcPr>
            <w:tcW w:type="dxa" w:w="4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sz w:val="18"/>
                <w:szCs w:val="18"/>
                <w:shd w:val="nil" w:color="auto" w:fill="auto"/>
                <w:rtl w:val="0"/>
                <w:lang w:val="en-US"/>
              </w:rPr>
              <w:t>3</w:t>
            </w:r>
          </w:p>
        </w:tc>
        <w:tc>
          <w:tcPr>
            <w:tcW w:type="dxa" w:w="4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sz w:val="18"/>
                <w:szCs w:val="18"/>
                <w:shd w:val="nil" w:color="auto" w:fill="auto"/>
                <w:rtl w:val="0"/>
                <w:lang w:val="en-US"/>
              </w:rPr>
              <w:t>2</w:t>
            </w:r>
          </w:p>
        </w:tc>
        <w:tc>
          <w:tcPr>
            <w:tcW w:type="dxa" w:w="4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sz w:val="18"/>
                <w:szCs w:val="18"/>
                <w:shd w:val="nil" w:color="auto" w:fill="auto"/>
                <w:rtl w:val="0"/>
                <w:lang w:val="en-US"/>
              </w:rPr>
              <w:t>3</w:t>
            </w:r>
          </w:p>
        </w:tc>
        <w:tc>
          <w:tcPr>
            <w:tcW w:type="dxa" w:w="4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sz w:val="18"/>
                <w:szCs w:val="18"/>
                <w:shd w:val="nil" w:color="auto" w:fill="auto"/>
                <w:rtl w:val="0"/>
                <w:lang w:val="en-US"/>
              </w:rPr>
              <w:t>2</w:t>
            </w:r>
          </w:p>
        </w:tc>
        <w:tc>
          <w:tcPr>
            <w:tcW w:type="dxa" w:w="4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sz w:val="18"/>
                <w:szCs w:val="18"/>
                <w:shd w:val="nil" w:color="auto" w:fill="auto"/>
                <w:rtl w:val="0"/>
                <w:lang w:val="en-US"/>
              </w:rPr>
              <w:t>1</w:t>
            </w:r>
          </w:p>
        </w:tc>
        <w:tc>
          <w:tcPr>
            <w:tcW w:type="dxa" w:w="4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sz w:val="18"/>
                <w:szCs w:val="18"/>
                <w:shd w:val="nil" w:color="auto" w:fill="auto"/>
                <w:rtl w:val="0"/>
                <w:lang w:val="en-US"/>
              </w:rPr>
              <w:t>1</w:t>
            </w:r>
          </w:p>
        </w:tc>
        <w:tc>
          <w:tcPr>
            <w:tcW w:type="dxa" w:w="4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sz w:val="18"/>
                <w:szCs w:val="18"/>
                <w:shd w:val="nil" w:color="auto" w:fill="auto"/>
                <w:rtl w:val="0"/>
                <w:lang w:val="en-US"/>
              </w:rPr>
              <w:t>2</w:t>
            </w:r>
          </w:p>
        </w:tc>
        <w:tc>
          <w:tcPr>
            <w:tcW w:type="dxa" w:w="4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sz w:val="18"/>
                <w:szCs w:val="18"/>
                <w:shd w:val="nil" w:color="auto" w:fill="auto"/>
                <w:rtl w:val="0"/>
                <w:lang w:val="en-US"/>
              </w:rPr>
              <w:t>2</w:t>
            </w:r>
          </w:p>
        </w:tc>
        <w:tc>
          <w:tcPr>
            <w:tcW w:type="dxa" w:w="4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sz w:val="18"/>
                <w:szCs w:val="18"/>
                <w:shd w:val="nil" w:color="auto" w:fill="auto"/>
                <w:rtl w:val="0"/>
                <w:lang w:val="en-US"/>
              </w:rPr>
              <w:t>2</w:t>
            </w:r>
          </w:p>
        </w:tc>
        <w:tc>
          <w:tcPr>
            <w:tcW w:type="dxa" w:w="4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sz w:val="18"/>
                <w:szCs w:val="18"/>
                <w:shd w:val="nil" w:color="auto" w:fill="auto"/>
                <w:rtl w:val="0"/>
                <w:lang w:val="en-US"/>
              </w:rPr>
              <w:t>2</w:t>
            </w:r>
          </w:p>
        </w:tc>
        <w:tc>
          <w:tcPr>
            <w:tcW w:type="dxa" w:w="4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sz w:val="18"/>
                <w:szCs w:val="18"/>
                <w:shd w:val="nil" w:color="auto" w:fill="auto"/>
                <w:rtl w:val="0"/>
                <w:lang w:val="en-US"/>
              </w:rPr>
              <w:t>3</w:t>
            </w:r>
          </w:p>
        </w:tc>
        <w:tc>
          <w:tcPr>
            <w:tcW w:type="dxa" w:w="4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sz w:val="18"/>
                <w:szCs w:val="18"/>
                <w:shd w:val="nil" w:color="auto" w:fill="auto"/>
                <w:rtl w:val="0"/>
                <w:lang w:val="en-US"/>
              </w:rPr>
              <w:t>2</w:t>
            </w:r>
          </w:p>
        </w:tc>
        <w:tc>
          <w:tcPr>
            <w:tcW w:type="dxa" w:w="4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sz w:val="18"/>
                <w:szCs w:val="18"/>
                <w:shd w:val="nil" w:color="auto" w:fill="auto"/>
                <w:rtl w:val="0"/>
                <w:lang w:val="en-US"/>
              </w:rPr>
              <w:t>2</w:t>
            </w:r>
          </w:p>
        </w:tc>
        <w:tc>
          <w:tcPr>
            <w:tcW w:type="dxa" w:w="4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sz w:val="18"/>
                <w:szCs w:val="18"/>
                <w:shd w:val="nil" w:color="auto" w:fill="auto"/>
                <w:rtl w:val="0"/>
                <w:lang w:val="en-US"/>
              </w:rPr>
              <w:t>2</w:t>
            </w:r>
          </w:p>
        </w:tc>
      </w:tr>
      <w:tr>
        <w:tblPrEx>
          <w:shd w:val="clear" w:color="auto" w:fill="ced7e7"/>
        </w:tblPrEx>
        <w:trPr>
          <w:trHeight w:val="402" w:hRule="atLeast"/>
        </w:trPr>
        <w:tc>
          <w:tcPr>
            <w:tcW w:type="dxa" w:w="4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sz w:val="18"/>
                <w:szCs w:val="18"/>
                <w:shd w:val="nil" w:color="auto" w:fill="auto"/>
                <w:rtl w:val="0"/>
                <w:lang w:val="en-US"/>
              </w:rPr>
              <w:t>CO3</w:t>
            </w:r>
          </w:p>
        </w:tc>
        <w:tc>
          <w:tcPr>
            <w:tcW w:type="dxa" w:w="4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sz w:val="18"/>
                <w:szCs w:val="18"/>
                <w:shd w:val="nil" w:color="auto" w:fill="auto"/>
                <w:rtl w:val="0"/>
                <w:lang w:val="en-US"/>
              </w:rPr>
              <w:t>2</w:t>
            </w:r>
          </w:p>
        </w:tc>
        <w:tc>
          <w:tcPr>
            <w:tcW w:type="dxa" w:w="4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sz w:val="18"/>
                <w:szCs w:val="18"/>
                <w:shd w:val="nil" w:color="auto" w:fill="auto"/>
                <w:rtl w:val="0"/>
                <w:lang w:val="en-US"/>
              </w:rPr>
              <w:t>2</w:t>
            </w:r>
          </w:p>
        </w:tc>
        <w:tc>
          <w:tcPr>
            <w:tcW w:type="dxa" w:w="4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sz w:val="18"/>
                <w:szCs w:val="18"/>
                <w:shd w:val="nil" w:color="auto" w:fill="auto"/>
                <w:rtl w:val="0"/>
                <w:lang w:val="en-US"/>
              </w:rPr>
              <w:t>3</w:t>
            </w:r>
          </w:p>
        </w:tc>
        <w:tc>
          <w:tcPr>
            <w:tcW w:type="dxa" w:w="4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sz w:val="18"/>
                <w:szCs w:val="18"/>
                <w:shd w:val="nil" w:color="auto" w:fill="auto"/>
                <w:rtl w:val="0"/>
                <w:lang w:val="en-US"/>
              </w:rPr>
              <w:t>2</w:t>
            </w:r>
          </w:p>
        </w:tc>
        <w:tc>
          <w:tcPr>
            <w:tcW w:type="dxa" w:w="4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sz w:val="18"/>
                <w:szCs w:val="18"/>
                <w:shd w:val="nil" w:color="auto" w:fill="auto"/>
                <w:rtl w:val="0"/>
                <w:lang w:val="en-US"/>
              </w:rPr>
              <w:t>2</w:t>
            </w:r>
          </w:p>
        </w:tc>
        <w:tc>
          <w:tcPr>
            <w:tcW w:type="dxa" w:w="4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sz w:val="18"/>
                <w:szCs w:val="18"/>
                <w:shd w:val="nil" w:color="auto" w:fill="auto"/>
                <w:rtl w:val="0"/>
                <w:lang w:val="en-US"/>
              </w:rPr>
              <w:t>2</w:t>
            </w:r>
          </w:p>
        </w:tc>
        <w:tc>
          <w:tcPr>
            <w:tcW w:type="dxa" w:w="4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sz w:val="18"/>
                <w:szCs w:val="18"/>
                <w:shd w:val="nil" w:color="auto" w:fill="auto"/>
                <w:rtl w:val="0"/>
                <w:lang w:val="en-US"/>
              </w:rPr>
              <w:t>2</w:t>
            </w:r>
          </w:p>
        </w:tc>
        <w:tc>
          <w:tcPr>
            <w:tcW w:type="dxa" w:w="4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sz w:val="18"/>
                <w:szCs w:val="18"/>
                <w:shd w:val="nil" w:color="auto" w:fill="auto"/>
                <w:rtl w:val="0"/>
                <w:lang w:val="en-US"/>
              </w:rPr>
              <w:t>2</w:t>
            </w:r>
          </w:p>
        </w:tc>
        <w:tc>
          <w:tcPr>
            <w:tcW w:type="dxa" w:w="4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sz w:val="18"/>
                <w:szCs w:val="18"/>
                <w:shd w:val="nil" w:color="auto" w:fill="auto"/>
                <w:rtl w:val="0"/>
                <w:lang w:val="en-US"/>
              </w:rPr>
              <w:t>3</w:t>
            </w:r>
          </w:p>
        </w:tc>
        <w:tc>
          <w:tcPr>
            <w:tcW w:type="dxa" w:w="4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sz w:val="18"/>
                <w:szCs w:val="18"/>
                <w:shd w:val="nil" w:color="auto" w:fill="auto"/>
                <w:rtl w:val="0"/>
                <w:lang w:val="en-US"/>
              </w:rPr>
              <w:t>3</w:t>
            </w:r>
          </w:p>
        </w:tc>
        <w:tc>
          <w:tcPr>
            <w:tcW w:type="dxa" w:w="4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sz w:val="18"/>
                <w:szCs w:val="18"/>
                <w:shd w:val="nil" w:color="auto" w:fill="auto"/>
                <w:rtl w:val="0"/>
                <w:lang w:val="en-US"/>
              </w:rPr>
              <w:t>3</w:t>
            </w:r>
          </w:p>
        </w:tc>
        <w:tc>
          <w:tcPr>
            <w:tcW w:type="dxa" w:w="4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sz w:val="18"/>
                <w:szCs w:val="18"/>
                <w:shd w:val="nil" w:color="auto" w:fill="auto"/>
                <w:rtl w:val="0"/>
                <w:lang w:val="en-US"/>
              </w:rPr>
              <w:t>3</w:t>
            </w:r>
          </w:p>
        </w:tc>
        <w:tc>
          <w:tcPr>
            <w:tcW w:type="dxa" w:w="4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sz w:val="18"/>
                <w:szCs w:val="18"/>
                <w:shd w:val="nil" w:color="auto" w:fill="auto"/>
                <w:rtl w:val="0"/>
                <w:lang w:val="en-US"/>
              </w:rPr>
              <w:t>3</w:t>
            </w:r>
          </w:p>
        </w:tc>
        <w:tc>
          <w:tcPr>
            <w:tcW w:type="dxa" w:w="4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sz w:val="18"/>
                <w:szCs w:val="18"/>
                <w:shd w:val="nil" w:color="auto" w:fill="auto"/>
                <w:rtl w:val="0"/>
                <w:lang w:val="en-US"/>
              </w:rPr>
              <w:t>2</w:t>
            </w:r>
          </w:p>
        </w:tc>
        <w:tc>
          <w:tcPr>
            <w:tcW w:type="dxa" w:w="4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sz w:val="18"/>
                <w:szCs w:val="18"/>
                <w:shd w:val="nil" w:color="auto" w:fill="auto"/>
                <w:rtl w:val="0"/>
                <w:lang w:val="en-US"/>
              </w:rPr>
              <w:t>2</w:t>
            </w:r>
          </w:p>
        </w:tc>
        <w:tc>
          <w:tcPr>
            <w:tcW w:type="dxa" w:w="4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sz w:val="18"/>
                <w:szCs w:val="18"/>
                <w:shd w:val="nil" w:color="auto" w:fill="auto"/>
                <w:rtl w:val="0"/>
                <w:lang w:val="en-US"/>
              </w:rPr>
              <w:t>3</w:t>
            </w:r>
          </w:p>
        </w:tc>
      </w:tr>
    </w:tbl>
    <w:p>
      <w:pPr>
        <w:pStyle w:val="Body"/>
        <w:widowControl w:val="0"/>
        <w:spacing w:line="240" w:lineRule="auto"/>
        <w:jc w:val="center"/>
      </w:pPr>
    </w:p>
    <w:p>
      <w:pPr>
        <w:pStyle w:val="Body"/>
        <w:spacing w:after="120" w:line="360" w:lineRule="auto"/>
        <w:jc w:val="both"/>
      </w:pPr>
    </w:p>
    <w:p>
      <w:pPr>
        <w:pStyle w:val="Body"/>
        <w:spacing w:after="120" w:line="360" w:lineRule="auto"/>
        <w:jc w:val="both"/>
      </w:pPr>
      <w:r>
        <w:rPr>
          <w:rFonts w:ascii="Times New Roman" w:hAnsi="Times New Roman"/>
          <w:sz w:val="24"/>
          <w:szCs w:val="24"/>
          <w:rtl w:val="0"/>
          <w:lang w:val="de-DE"/>
        </w:rPr>
        <w:t>Note:</w:t>
      </w:r>
    </w:p>
    <w:p>
      <w:pPr>
        <w:pStyle w:val="Body"/>
        <w:spacing w:after="120" w:line="360" w:lineRule="auto"/>
        <w:jc w:val="both"/>
      </w:pPr>
      <w:r>
        <w:rPr>
          <w:rFonts w:ascii="Times New Roman" w:hAnsi="Times New Roman"/>
          <w:sz w:val="24"/>
          <w:szCs w:val="24"/>
          <w:rtl w:val="0"/>
          <w:lang w:val="it-IT"/>
        </w:rPr>
        <w:t xml:space="preserve">Scale: 0 </w:t>
      </w:r>
      <w:r>
        <w:rPr>
          <w:rFonts w:ascii="Times New Roman" w:hAnsi="Times New Roman" w:hint="default"/>
          <w:sz w:val="24"/>
          <w:szCs w:val="24"/>
          <w:rtl w:val="0"/>
          <w:lang w:val="en-US"/>
        </w:rPr>
        <w:t xml:space="preserve">– </w:t>
      </w:r>
      <w:r>
        <w:rPr>
          <w:rFonts w:ascii="Times New Roman" w:hAnsi="Times New Roman"/>
          <w:sz w:val="24"/>
          <w:szCs w:val="24"/>
          <w:rtl w:val="0"/>
          <w:lang w:val="en-US"/>
        </w:rPr>
        <w:t xml:space="preserve">Not Applicable | 1 </w:t>
      </w:r>
      <w:r>
        <w:rPr>
          <w:rFonts w:ascii="Times New Roman" w:hAnsi="Times New Roman" w:hint="default"/>
          <w:sz w:val="24"/>
          <w:szCs w:val="24"/>
          <w:rtl w:val="0"/>
          <w:lang w:val="en-US"/>
        </w:rPr>
        <w:t xml:space="preserve">– </w:t>
      </w:r>
      <w:r>
        <w:rPr>
          <w:rFonts w:ascii="Times New Roman" w:hAnsi="Times New Roman"/>
          <w:sz w:val="24"/>
          <w:szCs w:val="24"/>
          <w:rtl w:val="0"/>
          <w:lang w:val="en-US"/>
        </w:rPr>
        <w:t xml:space="preserve">Low relevance | 2 </w:t>
      </w:r>
      <w:r>
        <w:rPr>
          <w:rFonts w:ascii="Times New Roman" w:hAnsi="Times New Roman" w:hint="default"/>
          <w:sz w:val="24"/>
          <w:szCs w:val="24"/>
          <w:rtl w:val="0"/>
          <w:lang w:val="en-US"/>
        </w:rPr>
        <w:t xml:space="preserve">– </w:t>
      </w:r>
      <w:r>
        <w:rPr>
          <w:rFonts w:ascii="Times New Roman" w:hAnsi="Times New Roman"/>
          <w:sz w:val="24"/>
          <w:szCs w:val="24"/>
          <w:rtl w:val="0"/>
        </w:rPr>
        <w:t xml:space="preserve">Medium relevance | 3 </w:t>
      </w:r>
      <w:r>
        <w:rPr>
          <w:rFonts w:ascii="Times New Roman" w:hAnsi="Times New Roman" w:hint="default"/>
          <w:sz w:val="24"/>
          <w:szCs w:val="24"/>
          <w:rtl w:val="0"/>
          <w:lang w:val="en-US"/>
        </w:rPr>
        <w:t xml:space="preserve">– </w:t>
      </w:r>
      <w:r>
        <w:rPr>
          <w:rFonts w:ascii="Times New Roman" w:hAnsi="Times New Roman"/>
          <w:sz w:val="24"/>
          <w:szCs w:val="24"/>
          <w:rtl w:val="0"/>
          <w:lang w:val="en-US"/>
        </w:rPr>
        <w:t>High relevance</w:t>
      </w:r>
    </w:p>
    <w:p>
      <w:pPr>
        <w:pStyle w:val="Body"/>
      </w:pPr>
      <w:r>
        <w:rPr>
          <w:rFonts w:ascii="Arial Unicode MS" w:cs="Arial Unicode MS" w:hAnsi="Arial Unicode MS" w:eastAsia="Arial Unicode MS"/>
          <w:b w:val="0"/>
          <w:bCs w:val="0"/>
          <w:i w:val="0"/>
          <w:iCs w:val="0"/>
        </w:rPr>
        <w:br w:type="page"/>
      </w:r>
    </w:p>
    <w:p>
      <w:pPr>
        <w:pStyle w:val="Body"/>
        <w:spacing w:before="360" w:after="0"/>
        <w:jc w:val="right"/>
      </w:pPr>
      <w:r>
        <w:rPr>
          <w:rFonts w:ascii="Times New Roman" w:hAnsi="Times New Roman"/>
          <w:b w:val="1"/>
          <w:bCs w:val="1"/>
          <w:i w:val="1"/>
          <w:iCs w:val="1"/>
          <w:sz w:val="28"/>
          <w:szCs w:val="28"/>
          <w:rtl w:val="0"/>
          <w:lang w:val="da-DK"/>
        </w:rPr>
        <w:t>Appendix C</w:t>
      </w:r>
    </w:p>
    <w:p>
      <w:pPr>
        <w:pStyle w:val="Body"/>
        <w:pBdr>
          <w:top w:val="nil"/>
          <w:left w:val="nil"/>
          <w:bottom w:val="single" w:color="aaaaaa" w:sz="6" w:space="0" w:shadow="0" w:frame="0"/>
          <w:right w:val="nil"/>
        </w:pBdr>
        <w:spacing w:before="40" w:after="280"/>
        <w:jc w:val="right"/>
      </w:pPr>
      <w:r>
        <w:rPr>
          <w:rFonts w:ascii="Times New Roman" w:hAnsi="Times New Roman"/>
          <w:b w:val="1"/>
          <w:bCs w:val="1"/>
          <w:sz w:val="28"/>
          <w:szCs w:val="28"/>
          <w:rtl w:val="0"/>
          <w:lang w:val="en-US"/>
        </w:rPr>
        <w:t>PUBLICATION DETAILS</w:t>
      </w:r>
    </w:p>
    <w:p>
      <w:pPr>
        <w:pStyle w:val="Body"/>
        <w:jc w:val="center"/>
      </w:pPr>
      <w:r>
        <w:drawing xmlns:a="http://schemas.openxmlformats.org/drawingml/2006/main">
          <wp:inline distT="0" distB="0" distL="0" distR="0">
            <wp:extent cx="5029200" cy="6478843"/>
            <wp:effectExtent l="0" t="0" r="0" b="0"/>
            <wp:docPr id="1073741842" name="officeArt object" descr="Picture 18"/>
            <wp:cNvGraphicFramePr/>
            <a:graphic xmlns:a="http://schemas.openxmlformats.org/drawingml/2006/main">
              <a:graphicData uri="http://schemas.openxmlformats.org/drawingml/2006/picture">
                <pic:pic xmlns:pic="http://schemas.openxmlformats.org/drawingml/2006/picture">
                  <pic:nvPicPr>
                    <pic:cNvPr id="1073741842" name="Picture 18" descr="Picture 18"/>
                    <pic:cNvPicPr>
                      <a:picLocks noChangeAspect="1"/>
                    </pic:cNvPicPr>
                  </pic:nvPicPr>
                  <pic:blipFill>
                    <a:blip r:embed="rId25">
                      <a:extLst/>
                    </a:blip>
                    <a:stretch>
                      <a:fillRect/>
                    </a:stretch>
                  </pic:blipFill>
                  <pic:spPr>
                    <a:xfrm>
                      <a:off x="0" y="0"/>
                      <a:ext cx="5029200" cy="6478843"/>
                    </a:xfrm>
                    <a:prstGeom prst="rect">
                      <a:avLst/>
                    </a:prstGeom>
                    <a:ln w="12700" cap="flat">
                      <a:noFill/>
                      <a:miter lim="400000"/>
                    </a:ln>
                    <a:effectLst/>
                  </pic:spPr>
                </pic:pic>
              </a:graphicData>
            </a:graphic>
          </wp:inline>
        </w:drawing>
      </w:r>
    </w:p>
    <w:p>
      <w:pPr>
        <w:pStyle w:val="Body"/>
        <w:jc w:val="center"/>
      </w:pPr>
    </w:p>
    <w:p>
      <w:pPr>
        <w:pStyle w:val="Body"/>
      </w:pPr>
      <w:r>
        <w:rPr>
          <w:rFonts w:ascii="Arial Unicode MS" w:cs="Arial Unicode MS" w:hAnsi="Arial Unicode MS" w:eastAsia="Arial Unicode MS"/>
          <w:b w:val="0"/>
          <w:bCs w:val="0"/>
          <w:i w:val="0"/>
          <w:iCs w:val="0"/>
        </w:rPr>
        <w:br w:type="page"/>
      </w:r>
    </w:p>
    <w:p>
      <w:pPr>
        <w:pStyle w:val="Body"/>
        <w:spacing w:before="360" w:after="280"/>
        <w:jc w:val="center"/>
      </w:pPr>
      <w:r>
        <w:rPr>
          <w:rFonts w:ascii="Times New Roman" w:hAnsi="Times New Roman"/>
          <w:b w:val="1"/>
          <w:bCs w:val="1"/>
          <w:sz w:val="28"/>
          <w:szCs w:val="28"/>
          <w:rtl w:val="0"/>
          <w:lang w:val="de-DE"/>
        </w:rPr>
        <w:t>REFERENCES</w:t>
      </w:r>
    </w:p>
    <w:p>
      <w:pPr>
        <w:pStyle w:val="Body"/>
        <w:spacing w:after="80"/>
        <w:ind w:left="432" w:hanging="432"/>
      </w:pPr>
      <w:r>
        <w:rPr>
          <w:rFonts w:ascii="Times New Roman" w:hAnsi="Times New Roman"/>
          <w:rtl w:val="0"/>
          <w:lang w:val="en-US"/>
        </w:rPr>
        <w:t>[1] Richards, S., Aziz, N., Bale, S., Bick, D., Das, S., Gastier-Foster, J., ... &amp; Rehm, H. L. (2015). Standards and guidelines for the interpretation of sequence variants: a joint consensus recommendation of the American College of Medical Genetics and Genomics and the Association for Molecular Pathology. Genetics in Medicine, 17(5), 405</w:t>
      </w:r>
      <w:r>
        <w:rPr>
          <w:rFonts w:ascii="Times New Roman" w:hAnsi="Times New Roman" w:hint="default"/>
          <w:rtl w:val="0"/>
          <w:lang w:val="en-US"/>
        </w:rPr>
        <w:t>–</w:t>
      </w:r>
      <w:r>
        <w:rPr>
          <w:rFonts w:ascii="Times New Roman" w:hAnsi="Times New Roman"/>
          <w:rtl w:val="0"/>
        </w:rPr>
        <w:t>424.</w:t>
      </w:r>
    </w:p>
    <w:p>
      <w:pPr>
        <w:pStyle w:val="Body"/>
        <w:spacing w:after="80"/>
        <w:ind w:left="432" w:hanging="432"/>
      </w:pPr>
      <w:r>
        <w:rPr>
          <w:rFonts w:ascii="Times New Roman" w:hAnsi="Times New Roman"/>
          <w:rtl w:val="0"/>
          <w:lang w:val="en-US"/>
        </w:rPr>
        <w:t>[2] Tavtigian, S. V., Greenblatt, M. S., Harrison, S. M., Nussbaum, R. L., Prabhu, S. A., Boucher, K. M., &amp; Biesecker, L. G. (2018). Modeling the ACMG/AMP variant classification guidelines as a Bayesian classification framework. Genetics in Medicine, 20(9), 1054</w:t>
      </w:r>
      <w:r>
        <w:rPr>
          <w:rFonts w:ascii="Times New Roman" w:hAnsi="Times New Roman" w:hint="default"/>
          <w:rtl w:val="0"/>
          <w:lang w:val="en-US"/>
        </w:rPr>
        <w:t>–</w:t>
      </w:r>
      <w:r>
        <w:rPr>
          <w:rFonts w:ascii="Times New Roman" w:hAnsi="Times New Roman"/>
          <w:rtl w:val="0"/>
        </w:rPr>
        <w:t>1060.</w:t>
      </w:r>
    </w:p>
    <w:p>
      <w:pPr>
        <w:pStyle w:val="Body"/>
        <w:spacing w:after="80"/>
        <w:ind w:left="432" w:hanging="432"/>
      </w:pPr>
      <w:r>
        <w:rPr>
          <w:rFonts w:ascii="Times New Roman" w:hAnsi="Times New Roman"/>
          <w:rtl w:val="0"/>
          <w:lang w:val="en-US"/>
        </w:rPr>
        <w:t>[3] Chen, T., &amp; Guestrin, C. (2016). XGBoost: A scalable tree boosting system. In Proceedings of the 22nd ACM SIGKDD International Conference on Knowledge Discovery and Data Mining (pp. 785</w:t>
      </w:r>
      <w:r>
        <w:rPr>
          <w:rFonts w:ascii="Times New Roman" w:hAnsi="Times New Roman" w:hint="default"/>
          <w:rtl w:val="0"/>
          <w:lang w:val="en-US"/>
        </w:rPr>
        <w:t>–</w:t>
      </w:r>
      <w:r>
        <w:rPr>
          <w:rFonts w:ascii="Times New Roman" w:hAnsi="Times New Roman"/>
          <w:rtl w:val="0"/>
        </w:rPr>
        <w:t>794).</w:t>
      </w:r>
    </w:p>
    <w:p>
      <w:pPr>
        <w:pStyle w:val="Body"/>
        <w:spacing w:after="80"/>
        <w:ind w:left="432" w:hanging="432"/>
      </w:pPr>
      <w:r>
        <w:rPr>
          <w:rFonts w:ascii="Times New Roman" w:hAnsi="Times New Roman"/>
          <w:rtl w:val="0"/>
          <w:lang w:val="en-US"/>
        </w:rPr>
        <w:t>[4] Lundberg, S. M., &amp; Lee, S. I. (2017). A unified approach to interpreting model predictions. Advances in Neural Information Processing Systems, 30, 4765</w:t>
      </w:r>
      <w:r>
        <w:rPr>
          <w:rFonts w:ascii="Times New Roman" w:hAnsi="Times New Roman" w:hint="default"/>
          <w:rtl w:val="0"/>
          <w:lang w:val="en-US"/>
        </w:rPr>
        <w:t>–</w:t>
      </w:r>
      <w:r>
        <w:rPr>
          <w:rFonts w:ascii="Times New Roman" w:hAnsi="Times New Roman"/>
          <w:rtl w:val="0"/>
        </w:rPr>
        <w:t>4774.</w:t>
      </w:r>
    </w:p>
    <w:p>
      <w:pPr>
        <w:pStyle w:val="Body"/>
        <w:spacing w:after="80"/>
        <w:ind w:left="432" w:hanging="432"/>
      </w:pPr>
      <w:r>
        <w:rPr>
          <w:rFonts w:ascii="Times New Roman" w:hAnsi="Times New Roman"/>
          <w:rtl w:val="0"/>
          <w:lang w:val="en-US"/>
        </w:rPr>
        <w:t>[5] Lewis, P., Perez, E., Piktus, A., Petroni, F., Karpukhin, V., Goyal, N., ... &amp; Kiela, P. (2020). Retrieval-augmented generation for knowledge-intensive NLP tasks. Advances in Neural Information Processing Systems, 33, 9459</w:t>
      </w:r>
      <w:r>
        <w:rPr>
          <w:rFonts w:ascii="Times New Roman" w:hAnsi="Times New Roman" w:hint="default"/>
          <w:rtl w:val="0"/>
          <w:lang w:val="en-US"/>
        </w:rPr>
        <w:t>–</w:t>
      </w:r>
      <w:r>
        <w:rPr>
          <w:rFonts w:ascii="Times New Roman" w:hAnsi="Times New Roman"/>
          <w:rtl w:val="0"/>
        </w:rPr>
        <w:t>9474.</w:t>
      </w:r>
    </w:p>
    <w:p>
      <w:pPr>
        <w:pStyle w:val="Body"/>
        <w:spacing w:after="80"/>
        <w:ind w:left="432" w:hanging="432"/>
      </w:pPr>
      <w:r>
        <w:rPr>
          <w:rFonts w:ascii="Times New Roman" w:hAnsi="Times New Roman"/>
          <w:rtl w:val="0"/>
          <w:lang w:val="en-US"/>
        </w:rPr>
        <w:t>[6] Kircher, M., Witten, D. M., Jain, P., O'Roak, B. J., Cooper, G. M., &amp; Shendure, J. (2014). A general framework for estimating the relative pathogenicity of human genetic variants. Nature Genetics, 46(3), 310</w:t>
      </w:r>
      <w:r>
        <w:rPr>
          <w:rFonts w:ascii="Times New Roman" w:hAnsi="Times New Roman" w:hint="default"/>
          <w:rtl w:val="0"/>
          <w:lang w:val="en-US"/>
        </w:rPr>
        <w:t>–</w:t>
      </w:r>
      <w:r>
        <w:rPr>
          <w:rFonts w:ascii="Times New Roman" w:hAnsi="Times New Roman"/>
          <w:rtl w:val="0"/>
        </w:rPr>
        <w:t>315.</w:t>
      </w:r>
    </w:p>
    <w:p>
      <w:pPr>
        <w:pStyle w:val="Body"/>
        <w:spacing w:after="80"/>
        <w:ind w:left="432" w:hanging="432"/>
      </w:pPr>
      <w:r>
        <w:rPr>
          <w:rFonts w:ascii="Times New Roman" w:hAnsi="Times New Roman"/>
          <w:rtl w:val="0"/>
          <w:lang w:val="en-US"/>
        </w:rPr>
        <w:t>[7] Ioannidis, N. M., Rothstein, J. H., Pejaver, V., Middha, S., McDonnell, S. K., Baheti, S., ... &amp; Sadee, W. (2016). REVEL: An ensemble method for predicting the pathogenicity of rare missense variants. American Journal of Human Genetics, 99(4), 877</w:t>
      </w:r>
      <w:r>
        <w:rPr>
          <w:rFonts w:ascii="Times New Roman" w:hAnsi="Times New Roman" w:hint="default"/>
          <w:rtl w:val="0"/>
          <w:lang w:val="en-US"/>
        </w:rPr>
        <w:t>–</w:t>
      </w:r>
      <w:r>
        <w:rPr>
          <w:rFonts w:ascii="Times New Roman" w:hAnsi="Times New Roman"/>
          <w:rtl w:val="0"/>
        </w:rPr>
        <w:t>885.</w:t>
      </w:r>
    </w:p>
    <w:p>
      <w:pPr>
        <w:pStyle w:val="Body"/>
        <w:spacing w:after="80"/>
        <w:ind w:left="432" w:hanging="432"/>
      </w:pPr>
      <w:r>
        <w:rPr>
          <w:rFonts w:ascii="Times New Roman" w:hAnsi="Times New Roman"/>
          <w:rtl w:val="0"/>
        </w:rPr>
        <w:t>[8] Karczewski, K. J., Francioli, L. C., Tiao, G., Cummings, B. B., Alf</w:t>
      </w:r>
      <w:r>
        <w:rPr>
          <w:rFonts w:ascii="Times New Roman" w:hAnsi="Times New Roman" w:hint="default"/>
          <w:rtl w:val="0"/>
          <w:lang w:val="en-US"/>
        </w:rPr>
        <w:t>ö</w:t>
      </w:r>
      <w:r>
        <w:rPr>
          <w:rFonts w:ascii="Times New Roman" w:hAnsi="Times New Roman"/>
          <w:rtl w:val="0"/>
          <w:lang w:val="en-US"/>
        </w:rPr>
        <w:t>ldi, J., Wang, Q., ... &amp; MacArthur, D. G. (2020). The mutational constraint spectrum quantified from variation in 141,456 humans. Nature, 581(7809), 434</w:t>
      </w:r>
      <w:r>
        <w:rPr>
          <w:rFonts w:ascii="Times New Roman" w:hAnsi="Times New Roman" w:hint="default"/>
          <w:rtl w:val="0"/>
          <w:lang w:val="en-US"/>
        </w:rPr>
        <w:t>–</w:t>
      </w:r>
      <w:r>
        <w:rPr>
          <w:rFonts w:ascii="Times New Roman" w:hAnsi="Times New Roman"/>
          <w:rtl w:val="0"/>
        </w:rPr>
        <w:t>443.</w:t>
      </w:r>
    </w:p>
    <w:p>
      <w:pPr>
        <w:pStyle w:val="Body"/>
        <w:spacing w:after="80"/>
        <w:ind w:left="432" w:hanging="432"/>
      </w:pPr>
      <w:r>
        <w:rPr>
          <w:rFonts w:ascii="Times New Roman" w:hAnsi="Times New Roman"/>
          <w:rtl w:val="0"/>
          <w:lang w:val="en-US"/>
        </w:rPr>
        <w:t>[9] Scheffer, I. E., Berkovic, S., Capovilla, G., Connolly, M. B., French, J., Guilhoto, L., ... &amp; Zuberi, S. M. (2017). ILAE classification of the epilepsies: position paper of the ILAE Commission for Classification and Terminology. Epilepsia, 58(4), 512</w:t>
      </w:r>
      <w:r>
        <w:rPr>
          <w:rFonts w:ascii="Times New Roman" w:hAnsi="Times New Roman" w:hint="default"/>
          <w:rtl w:val="0"/>
          <w:lang w:val="en-US"/>
        </w:rPr>
        <w:t>–</w:t>
      </w:r>
      <w:r>
        <w:rPr>
          <w:rFonts w:ascii="Times New Roman" w:hAnsi="Times New Roman"/>
          <w:rtl w:val="0"/>
        </w:rPr>
        <w:t>521.</w:t>
      </w:r>
    </w:p>
    <w:p>
      <w:pPr>
        <w:pStyle w:val="Body"/>
        <w:spacing w:after="80"/>
        <w:ind w:left="432" w:hanging="432"/>
      </w:pPr>
      <w:r>
        <w:rPr>
          <w:rFonts w:ascii="Times New Roman" w:hAnsi="Times New Roman"/>
          <w:rtl w:val="0"/>
          <w:lang w:val="en-US"/>
        </w:rPr>
        <w:t>[10] Landrum, M. J., Lee, J. M., Benson, M., Brown, G. R., Chao, C., Chitipiralla, S., ... &amp; Maglott, D. R. (2018). ClinVar: improving access to variant interpretations and supporting evidence. Nucleic Acids Research, 46(D1), D1062</w:t>
      </w:r>
      <w:r>
        <w:rPr>
          <w:rFonts w:ascii="Times New Roman" w:hAnsi="Times New Roman" w:hint="default"/>
          <w:rtl w:val="0"/>
          <w:lang w:val="en-US"/>
        </w:rPr>
        <w:t>–</w:t>
      </w:r>
      <w:r>
        <w:rPr>
          <w:rFonts w:ascii="Times New Roman" w:hAnsi="Times New Roman"/>
          <w:rtl w:val="0"/>
        </w:rPr>
        <w:t>D1067.</w:t>
      </w:r>
    </w:p>
    <w:p>
      <w:pPr>
        <w:pStyle w:val="Body"/>
        <w:spacing w:after="80"/>
        <w:ind w:left="432" w:hanging="432"/>
      </w:pPr>
      <w:r>
        <w:rPr>
          <w:rFonts w:ascii="Times New Roman" w:hAnsi="Times New Roman"/>
          <w:rtl w:val="0"/>
          <w:lang w:val="en-US"/>
        </w:rPr>
        <w:t>[11] Lundberg, S. M., Erion, G., Chen, H., DeGrave, A., Prutkin, J. M., Nair, B., ... &amp; Lee, S. I. (2020). From local explanations to global understanding with explainable AI for trees. Nature Machine Intelligence, 2(1), 56</w:t>
      </w:r>
      <w:r>
        <w:rPr>
          <w:rFonts w:ascii="Times New Roman" w:hAnsi="Times New Roman" w:hint="default"/>
          <w:rtl w:val="0"/>
          <w:lang w:val="en-US"/>
        </w:rPr>
        <w:t>–</w:t>
      </w:r>
      <w:r>
        <w:rPr>
          <w:rFonts w:ascii="Times New Roman" w:hAnsi="Times New Roman"/>
          <w:rtl w:val="0"/>
        </w:rPr>
        <w:t>67.</w:t>
      </w:r>
    </w:p>
    <w:p>
      <w:pPr>
        <w:pStyle w:val="Body"/>
        <w:spacing w:after="80"/>
        <w:ind w:left="432" w:hanging="432"/>
      </w:pPr>
      <w:r>
        <w:rPr>
          <w:rFonts w:ascii="Times New Roman" w:hAnsi="Times New Roman"/>
          <w:rtl w:val="0"/>
          <w:lang w:val="en-US"/>
        </w:rPr>
        <w:t>[12] Holzinger, A., Biemann, C., Pattichis, C. S., &amp; Kell, D. B. (2017). What do we need to build explainable AI systems for the medical domain? arXiv preprint arXiv:1712.09923.</w:t>
      </w:r>
    </w:p>
    <w:p>
      <w:pPr>
        <w:pStyle w:val="Body"/>
        <w:spacing w:after="80"/>
        <w:ind w:left="432" w:hanging="432"/>
      </w:pPr>
      <w:r>
        <w:rPr>
          <w:rFonts w:ascii="Times New Roman" w:hAnsi="Times New Roman"/>
          <w:rtl w:val="0"/>
          <w:lang w:val="en-US"/>
        </w:rPr>
        <w:t>[13] Nolan, D., Fink, J. K., &amp; de Lonlay, P. (2019). Genomic medicine in epilepsy: Clinical impact and diagnostic challenges. The Lancet Neurology, 18(5), 504</w:t>
      </w:r>
      <w:r>
        <w:rPr>
          <w:rFonts w:ascii="Times New Roman" w:hAnsi="Times New Roman" w:hint="default"/>
          <w:rtl w:val="0"/>
          <w:lang w:val="en-US"/>
        </w:rPr>
        <w:t>–</w:t>
      </w:r>
      <w:r>
        <w:rPr>
          <w:rFonts w:ascii="Times New Roman" w:hAnsi="Times New Roman"/>
          <w:rtl w:val="0"/>
        </w:rPr>
        <w:t>515.</w:t>
      </w:r>
    </w:p>
    <w:p>
      <w:pPr>
        <w:pStyle w:val="Body"/>
        <w:spacing w:after="80"/>
        <w:ind w:left="432" w:hanging="432"/>
      </w:pPr>
      <w:r>
        <w:rPr>
          <w:rFonts w:ascii="Times New Roman" w:hAnsi="Times New Roman"/>
          <w:rtl w:val="0"/>
          <w:lang w:val="en-US"/>
        </w:rPr>
        <w:t>[14] Xiong, G., Jin, Q., Lu, Z., &amp; Zhang, A. (2023). Benchmarking retrieval-augmented generation for medicine. arXiv preprint arXiv:2402.13178.</w:t>
      </w:r>
    </w:p>
    <w:p>
      <w:pPr>
        <w:pStyle w:val="Body"/>
        <w:spacing w:after="80"/>
        <w:ind w:left="432" w:hanging="432"/>
      </w:pPr>
      <w:r>
        <w:rPr>
          <w:rFonts w:ascii="Times New Roman" w:hAnsi="Times New Roman"/>
          <w:rtl w:val="0"/>
          <w:lang w:val="en-US"/>
        </w:rPr>
        <w:t>[15] Stenson, P. D., Ball, E. V., Mort, M., Phillips, A. D., Shiel, J. A., Thomas, N. S., ... &amp; Cooper, D. N. (2003). Human Gene Mutation Database (HGMD): 2003 update. Human Mutation, 21(6), 577</w:t>
      </w:r>
      <w:r>
        <w:rPr>
          <w:rFonts w:ascii="Times New Roman" w:hAnsi="Times New Roman" w:hint="default"/>
          <w:rtl w:val="0"/>
          <w:lang w:val="en-US"/>
        </w:rPr>
        <w:t>–</w:t>
      </w:r>
      <w:r>
        <w:rPr>
          <w:rFonts w:ascii="Times New Roman" w:hAnsi="Times New Roman"/>
          <w:rtl w:val="0"/>
        </w:rPr>
        <w:t>581.</w:t>
      </w:r>
    </w:p>
    <w:p>
      <w:pPr>
        <w:pStyle w:val="Body"/>
        <w:spacing w:after="80"/>
        <w:ind w:left="432" w:hanging="432"/>
      </w:pPr>
      <w:r>
        <w:rPr>
          <w:rFonts w:ascii="Times New Roman" w:hAnsi="Times New Roman"/>
          <w:rtl w:val="0"/>
          <w:lang w:val="en-US"/>
        </w:rPr>
        <w:t>[16] McLaren, W., Gil, L., Hunt, S. E., Riat, H. S., Ritchie, G. R., Thormann, A., ... &amp; Cunningham, F. (2016). The ensembl variant effect predictor. Genome Biology, 17(1), 122.</w:t>
      </w:r>
    </w:p>
    <w:p>
      <w:pPr>
        <w:pStyle w:val="Body"/>
        <w:spacing w:after="80"/>
        <w:ind w:left="432" w:hanging="432"/>
      </w:pPr>
      <w:r>
        <w:rPr>
          <w:rFonts w:ascii="Times New Roman" w:hAnsi="Times New Roman"/>
          <w:rtl w:val="0"/>
          <w:lang w:val="en-US"/>
        </w:rPr>
        <w:t>[17] Adzhubei, I. A., Schmidt, S., Peshkin, L., Ramensky, V. E., Gerasimova, A., Bork, P., ... &amp; Sunyaev, S. R. (2010). A method and server for predicting damaging missense mutations. Nature Methods, 7(4), 248</w:t>
      </w:r>
      <w:r>
        <w:rPr>
          <w:rFonts w:ascii="Times New Roman" w:hAnsi="Times New Roman" w:hint="default"/>
          <w:rtl w:val="0"/>
          <w:lang w:val="en-US"/>
        </w:rPr>
        <w:t>–</w:t>
      </w:r>
      <w:r>
        <w:rPr>
          <w:rFonts w:ascii="Times New Roman" w:hAnsi="Times New Roman"/>
          <w:rtl w:val="0"/>
        </w:rPr>
        <w:t>249.</w:t>
      </w:r>
    </w:p>
    <w:p>
      <w:pPr>
        <w:pStyle w:val="Body"/>
        <w:spacing w:after="80"/>
        <w:ind w:left="432" w:hanging="432"/>
      </w:pPr>
      <w:r>
        <w:rPr>
          <w:rFonts w:ascii="Times New Roman" w:hAnsi="Times New Roman"/>
          <w:rtl w:val="0"/>
          <w:lang w:val="en-US"/>
        </w:rPr>
        <w:t>[18] Whiffin, N., Minikel, E., Walsh, R., O'Donnell-Luria, A. H., Karczewski, K., Ing, A. Y., ... &amp; Watkins, H. (2017). Using high-resolution variant frequencies to empower clinical genome interpretation. Genetics in Medicine, 19(10), 1151</w:t>
      </w:r>
      <w:r>
        <w:rPr>
          <w:rFonts w:ascii="Times New Roman" w:hAnsi="Times New Roman" w:hint="default"/>
          <w:rtl w:val="0"/>
          <w:lang w:val="en-US"/>
        </w:rPr>
        <w:t>–</w:t>
      </w:r>
      <w:r>
        <w:rPr>
          <w:rFonts w:ascii="Times New Roman" w:hAnsi="Times New Roman"/>
          <w:rtl w:val="0"/>
        </w:rPr>
        <w:t>1158.</w:t>
      </w:r>
    </w:p>
    <w:p>
      <w:pPr>
        <w:pStyle w:val="Body"/>
        <w:spacing w:after="80"/>
        <w:ind w:left="432" w:hanging="432"/>
      </w:pPr>
      <w:r>
        <w:rPr>
          <w:rFonts w:ascii="Times New Roman" w:hAnsi="Times New Roman"/>
          <w:rtl w:val="0"/>
          <w:lang w:val="en-US"/>
        </w:rPr>
        <w:t>[19] Lek, M., Karczewski, K. J., Minikel, E. V., Samocha, K. E., Banks, E., Fennell, T., ... &amp; MacArthur, D. G. (2016). Analysis of protein-coding genetic variation in 60,706 humans. Nature, 536(7616), 285</w:t>
      </w:r>
      <w:r>
        <w:rPr>
          <w:rFonts w:ascii="Times New Roman" w:hAnsi="Times New Roman" w:hint="default"/>
          <w:rtl w:val="0"/>
          <w:lang w:val="en-US"/>
        </w:rPr>
        <w:t>–</w:t>
      </w:r>
      <w:r>
        <w:rPr>
          <w:rFonts w:ascii="Times New Roman" w:hAnsi="Times New Roman"/>
          <w:rtl w:val="0"/>
        </w:rPr>
        <w:t>291.</w:t>
      </w:r>
    </w:p>
    <w:p>
      <w:pPr>
        <w:pStyle w:val="Body"/>
        <w:spacing w:after="80"/>
        <w:ind w:left="432" w:hanging="432"/>
      </w:pPr>
      <w:r>
        <w:rPr>
          <w:rFonts w:ascii="Times New Roman" w:hAnsi="Times New Roman"/>
          <w:rtl w:val="0"/>
          <w:lang w:val="en-US"/>
        </w:rPr>
        <w:t>[20] Johnson, A. E., Pollard, T. J., Shen, L., Lehman, L. W. H., Feng, M., Ghassemi, M., ... &amp; Mark, R. G. (2023). Large language models in medical and clinical informatics: State of the art and future directions. Journal of Medical Internet Research, 25, e47200.</w:t>
      </w:r>
    </w:p>
    <w:sectPr>
      <w:headerReference w:type="default" r:id="rId26"/>
      <w:footerReference w:type="default" r:id="rId27"/>
      <w:pgSz w:w="11900" w:h="16840" w:orient="portrait"/>
      <w:pgMar w:top="1417" w:right="1417" w:bottom="1417" w:left="1701" w:header="567" w:footer="567"/>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 w:name="Cambria Bold">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8762"/>
        <w:tab w:val="clear" w:pos="9360"/>
      </w:tabs>
      <w:jc w:val="center"/>
    </w:pP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 </w:instrText>
    </w:r>
    <w:r>
      <w:rPr>
        <w:rFonts w:ascii="Times New Roman" w:cs="Times New Roman" w:hAnsi="Times New Roman" w:eastAsia="Times New Roman"/>
      </w:rPr>
      <w:fldChar w:fldCharType="separate" w:fldLock="0"/>
    </w:r>
    <w:r>
      <w:rPr>
        <w:rFonts w:ascii="Times New Roman" w:cs="Times New Roman" w:hAnsi="Times New Roman" w:eastAsia="Times New Roman"/>
      </w:rPr>
    </w:r>
    <w:r>
      <w:rPr>
        <w:rFonts w:ascii="Times New Roman" w:cs="Times New Roman" w:hAnsi="Times New Roman" w:eastAsia="Times New Roman"/>
      </w:rPr>
      <w:fldChar w:fldCharType="end" w:fldLock="0"/>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8762"/>
        <w:tab w:val="clear" w:pos="9360"/>
      </w:tabs>
      <w:jc w:val="center"/>
    </w:pP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 </w:instrText>
    </w:r>
    <w:r>
      <w:rPr>
        <w:rFonts w:ascii="Times New Roman" w:cs="Times New Roman" w:hAnsi="Times New Roman" w:eastAsia="Times New Roman"/>
      </w:rPr>
      <w:fldChar w:fldCharType="separate" w:fldLock="0"/>
    </w:r>
    <w:r>
      <w:rPr>
        <w:rFonts w:ascii="Times New Roman" w:cs="Times New Roman" w:hAnsi="Times New Roman" w:eastAsia="Times New Roman"/>
      </w:rPr>
    </w:r>
    <w:r>
      <w:rPr>
        <w:rFonts w:ascii="Times New Roman" w:cs="Times New Roman" w:hAnsi="Times New Roman" w:eastAsia="Times New Roman"/>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s"/>
  </w:abstractNum>
  <w:abstractNum w:abstractNumId="1">
    <w:multiLevelType w:val="hybridMultilevel"/>
    <w:styleLink w:val="Bullets"/>
    <w:lvl w:ilvl="0">
      <w:start w:val="1"/>
      <w:numFmt w:val="bullet"/>
      <w:suff w:val="tab"/>
      <w:lvlText w:val="•"/>
      <w:lvlJc w:val="left"/>
      <w:pPr>
        <w:tabs>
          <w:tab w:val="num" w:pos="462"/>
        </w:tabs>
        <w:ind w:left="750" w:hanging="462"/>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num" w:pos="1062"/>
        </w:tabs>
        <w:ind w:left="1350" w:hanging="462"/>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num" w:pos="1662"/>
        </w:tabs>
        <w:ind w:left="1950" w:hanging="46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num" w:pos="2262"/>
        </w:tabs>
        <w:ind w:left="2550" w:hanging="462"/>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num" w:pos="2862"/>
        </w:tabs>
        <w:ind w:left="3150" w:hanging="462"/>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num" w:pos="3462"/>
        </w:tabs>
        <w:ind w:left="3750" w:hanging="46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num" w:pos="4062"/>
        </w:tabs>
        <w:ind w:left="4350" w:hanging="462"/>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num" w:pos="4662"/>
        </w:tabs>
        <w:ind w:left="4950" w:hanging="462"/>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num" w:pos="5262"/>
        </w:tabs>
        <w:ind w:left="5550" w:hanging="462"/>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mbria" w:cs="Cambria" w:hAnsi="Cambria" w:eastAsia="Cambria"/>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Bullets">
    <w:name w:val="Bullets"/>
    <w:pPr>
      <w:numPr>
        <w:numId w:val="1"/>
      </w:numPr>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header" Target="header2.xml"/><Relationship Id="rId7" Type="http://schemas.openxmlformats.org/officeDocument/2006/relationships/footer" Target="footer2.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jpeg"/><Relationship Id="rId22" Type="http://schemas.openxmlformats.org/officeDocument/2006/relationships/image" Target="media/image2.jpeg"/><Relationship Id="rId23" Type="http://schemas.openxmlformats.org/officeDocument/2006/relationships/image" Target="media/image3.jpeg"/><Relationship Id="rId24" Type="http://schemas.openxmlformats.org/officeDocument/2006/relationships/image" Target="media/image4.jpeg"/><Relationship Id="rId25" Type="http://schemas.openxmlformats.org/officeDocument/2006/relationships/image" Target="media/image14.png"/><Relationship Id="rId26" Type="http://schemas.openxmlformats.org/officeDocument/2006/relationships/header" Target="header3.xml"/><Relationship Id="rId27" Type="http://schemas.openxmlformats.org/officeDocument/2006/relationships/footer" Target="footer3.xml"/><Relationship Id="rId28" Type="http://schemas.openxmlformats.org/officeDocument/2006/relationships/numbering" Target="numbering.xml"/><Relationship Id="rId2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