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SWTID-2026-8181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B">
      <w:pPr>
        <w:spacing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Script-Controlled ACL is evaluated to verify correct record-access decisions, efficient ACL execution, and reliable validation for authorized and unauthorized users.</w:t>
      </w:r>
    </w:p>
    <w:tbl>
      <w:tblPr>
        <w:tblStyle w:val="Table2"/>
        <w:tblW w:w="10872.0" w:type="dxa"/>
        <w:jc w:val="center"/>
        <w:tblLayout w:type="fixed"/>
        <w:tblLook w:val="0400"/>
      </w:tblPr>
      <w:tblGrid>
        <w:gridCol w:w="531"/>
        <w:gridCol w:w="1695"/>
        <w:gridCol w:w="8646"/>
        <w:tblGridChange w:id="0">
          <w:tblGrid>
            <w:gridCol w:w="531"/>
            <w:gridCol w:w="1695"/>
            <w:gridCol w:w="864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 /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Metrics</w:t>
              <w:br w:type="textWrapping"/>
              <w:t xml:space="preserve">• Access Decision Accuracy – Correct Allow/Deny decisions based on the configured field value.</w:t>
              <w:br w:type="textWrapping"/>
              <w:t xml:space="preserve">• ACL Response Time – Time taken to evaluate the ACL script and return the access decision.</w:t>
              <w:br w:type="textWrapping"/>
              <w:t xml:space="preserve">• Rule Execution Success – ACL script executes successfully without errors.</w:t>
              <w:br w:type="textWrapping"/>
              <w:t xml:space="preserve">• Unauthorized Access Prevention – Users with non-matching field values are denied access.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6766560" cy="4145915"/>
                  <wp:effectExtent b="0" l="0" r="0" t="0"/>
                  <wp:docPr id="15461623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4145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Tune the Model / ACL Rule</w:t>
              <w:br w:type="textWrapping"/>
              <w:t xml:space="preserve">• Optimize the field-value comparison logic.</w:t>
              <w:br w:type="textWrapping"/>
              <w:t xml:space="preserve">• Avoid unnecessary database queries and repeated validations.</w:t>
              <w:br w:type="textWrapping"/>
              <w:t xml:space="preserve">• Keep the ACL script simple, readable, and maintainable.</w:t>
              <w:br w:type="textWrapping"/>
              <w:t xml:space="preserve">• Example: record.department == current_user.department → Allow; otherwise → Deny.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6766560" cy="3194050"/>
                  <wp:effectExtent b="0" l="0" r="0" t="0"/>
                  <wp:docPr id="15461623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194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Validation Method</w:t>
              <w:br w:type="textWrapping"/>
              <w:t xml:space="preserve">• Positive Validation – Authorized user can access the matching record.</w:t>
              <w:br w:type="textWrapping"/>
              <w:t xml:space="preserve">• Negative Validation – Unauthorized user cannot access the record.</w:t>
              <w:br w:type="textWrapping"/>
              <w:t xml:space="preserve">• Boundary Validation – Missing or invalid field values are denied safely.</w:t>
              <w:br w:type="textWrapping"/>
              <w:t xml:space="preserve">• Role Validation – Access follows the configured ACL role and rule.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6766560" cy="3161030"/>
                  <wp:effectExtent b="0" l="0" r="0" t="0"/>
                  <wp:docPr id="15461623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161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 Note: </w:t>
      </w:r>
      <w:r w:rsidDel="00000000" w:rsidR="00000000" w:rsidRPr="00000000">
        <w:rPr>
          <w:rtl w:val="0"/>
        </w:rPr>
        <w:t xml:space="preserve">Replace the screenshot descriptions with actual screenshots captured from the ServiceNow ACL configuration and test execution.</w:t>
      </w:r>
    </w:p>
    <w:sectPr>
      <w:pgSz w:h="15840" w:w="12240" w:orient="portrait"/>
      <w:pgMar w:bottom="648" w:top="648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iLMg5a5WZyQZJJbS46qFxNTnKQ==">CgMxLjA4AHIhMUdTSDBCTjBPS2NZamk1TTFOLUdjTkhldmpDRjFhQ1Jz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