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 october2026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SWTID-2026-8181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4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Data Rendered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 table: u_institution_details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Fields: Student Roll Number, Student Name, Faculty Name, Branch, Email, Phone Number, Description.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Branch values used: ECE, EEE, CSE. Read access is restricted so bb1 users see EEE records; Admin sees all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240280" cy="1560471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5604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ServiceNow table and field 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240280" cy="2139106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1391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Read-access verification: EEE user vs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Data Preprocessing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conventional data preprocessing is specified in the project. Access processing is performed at record level through the ACL.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 ACL uses Data Condition: Branch is EEE, with script-controlled role checks. Create/Write/Delete ACLs use role requirements bb2, bb3 and bb4 respectively.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240280" cy="2008527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0085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Read ACL: Branch = EEE + advanced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Utilization of Filters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ACL conditions/controls used: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Data condition: Branch is EEE</w:t>
              <w:br w:type="textWrapping"/>
              <w:t xml:space="preserve">• Read ACL role: bb1</w:t>
              <w:br w:type="textWrapping"/>
              <w:t xml:space="preserve">• Create ACL role: bb2</w:t>
              <w:br w:type="textWrapping"/>
              <w:t xml:space="preserve">• Write ACL role: bb3</w:t>
              <w:br w:type="textWrapping"/>
              <w:t xml:space="preserve">• Delete ACL role: bb4</w:t>
              <w:br w:type="textWrapping"/>
              <w:t xml:space="preserve">• Admin users retain full access in the read script.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240280" cy="1962176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962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Create ACL configuration with bb2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Calculation fields Used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None. The project does not specify calculated fields or formula-based calculations.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Security decisions are based on roles and the Branch field value rather than calculated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Dashboard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applicable to this project. The source describes a ServiceNow ACL/security implementation rather than a Tableau dashboard.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visualizations/graphs are specified in the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Story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applicable to this project. No Tableau Story or story-point visualizations are specified in the 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fe6vOE4sthMH3ZuQvq5uG23Zg==">CgMxLjA4AHIhMTBkSl9KMnJzbmpEeVdhaDhpQnJJbkZfV2NOdjJMTkww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