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B365D"/>
          <w:sz w:val="48"/>
        </w:rPr>
        <w:t>Project Muggles: Autonomous Incident Investigation Agent</w:t>
      </w:r>
    </w:p>
    <w:p>
      <w:pPr>
        <w:spacing w:after="360"/>
      </w:pPr>
      <w:r>
        <w:rPr>
          <w:rFonts w:ascii="Calibri" w:hAnsi="Calibri"/>
          <w:color w:val="2F5496"/>
          <w:sz w:val="26"/>
        </w:rPr>
        <w:t>Technical Architecture, Multi-Agent Workflow, and Enterprise Modernization Roadmap</w:t>
      </w:r>
    </w:p>
    <w:tbl>
      <w:tblPr>
        <w:tblW w:type="auto" w:w="0"/>
        <w:jc w:val="center"/>
        <w:tblLook w:firstColumn="1" w:firstRow="1" w:lastColumn="0" w:lastRow="0" w:noHBand="0" w:noVBand="1" w:val="04A0"/>
      </w:tblPr>
      <w:tblGrid>
        <w:gridCol w:w="9360"/>
      </w:tblGrid>
      <w:tr>
        <w:tc>
          <w:tcPr>
            <w:tcW w:type="dxa" w:w="9360"/>
            <w:shd w:fill="F2F4F8"/>
            <w:tcMar>
              <w:top w:w="140" w:type="dxa"/>
              <w:bottom w:w="140" w:type="dxa"/>
              <w:left w:w="200" w:type="dxa"/>
              <w:right w:w="200" w:type="dxa"/>
            </w:tcMar>
            <w:tcBorders>
              <w:left w:val="single" w:sz="24" w:space="0" w:color="1B365D"/>
              <w:top w:val="none"/>
              <w:right w:val="none"/>
              <w:bottom w:val="none"/>
            </w:tcBorders>
          </w:tcPr>
          <w:p>
            <w:pPr>
              <w:spacing w:after="0"/>
            </w:pPr>
            <w:r>
              <w:rPr>
                <w:b/>
                <w:color w:val="1B365D"/>
              </w:rPr>
              <w:t xml:space="preserve">Executive Overview: </w:t>
            </w:r>
            <w:r>
              <w:rPr>
                <w:sz w:val="21"/>
              </w:rPr>
              <w:t>Modern operational incidents require searching across thousands of fragmented documents with conflicting or outdated information. Project Muggles introduces a multi-agent AI architecture that performs hybrid retrieval, version correlation, contradiction detection, and evidence-backed reasoning to reduce MTTR and eliminate manual evidence synthesis.</w:t>
            </w:r>
          </w:p>
        </w:tc>
      </w:tr>
    </w:tbl>
    <w:p>
      <w:pPr>
        <w:spacing w:after="240"/>
      </w:pPr>
    </w:p>
    <w:p>
      <w:pPr>
        <w:keepNext/>
        <w:spacing w:before="320" w:after="120"/>
      </w:pPr>
      <w:r>
        <w:rPr>
          <w:rFonts w:ascii="Calibri" w:hAnsi="Calibri"/>
          <w:b/>
          <w:color w:val="1B365D"/>
          <w:sz w:val="36"/>
        </w:rPr>
        <w:t>1. Executive Summary &amp; Problem Statement</w:t>
      </w:r>
    </w:p>
    <w:p>
      <w:r>
        <w:t>During production incidents, Site Reliability Engineers (SREs) and on-call responders spend critical time searching across disparate internal repositories. Evidence is frequently scattered across postmortems, deployment notes, troubleshooting guides, architecture diagrams, customer complaint threads, and incident reports. Manual searches across these silos lead to delayed investigations and erroneous conclusions caused by outdated or contradictory documentation.</w:t>
      </w:r>
    </w:p>
    <w:p>
      <w:r>
        <w:t>Project Muggles addresses this operational bottleneck by implementing an autonomous, multi-agent investigation system. Rather than relying on simple document lookups, the system decomposes natural language incident queries, executes hybrid search across seven document categories, correlates timeline events with software versions, detects superseded troubleshooting guidance, and outputs transparent, document-cited findings.</w:t>
      </w:r>
    </w:p>
    <w:p>
      <w:pPr>
        <w:keepNext/>
        <w:spacing w:before="240" w:after="80"/>
      </w:pPr>
      <w:r>
        <w:rPr>
          <w:rFonts w:ascii="Calibri" w:hAnsi="Calibri"/>
          <w:b/>
          <w:color w:val="2F5496"/>
          <w:sz w:val="28"/>
        </w:rPr>
        <w:t>Key System Capabilities</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fill="1B365D"/>
            <w:tcMar>
              <w:top w:w="100" w:type="dxa"/>
              <w:bottom w:w="100" w:type="dxa"/>
              <w:left w:w="150" w:type="dxa"/>
              <w:right w:w="150" w:type="dxa"/>
            </w:tcMar>
          </w:tcPr>
          <w:p>
            <w:pPr>
              <w:jc w:val="left"/>
            </w:pPr>
            <w:r>
              <w:rPr>
                <w:b/>
                <w:color w:val="FFFFFF"/>
              </w:rPr>
              <w:t>Capability</w:t>
            </w:r>
          </w:p>
        </w:tc>
        <w:tc>
          <w:tcPr>
            <w:tcW w:type="dxa" w:w="6480"/>
            <w:shd w:fill="1B365D"/>
            <w:tcMar>
              <w:top w:w="100" w:type="dxa"/>
              <w:bottom w:w="100" w:type="dxa"/>
              <w:left w:w="150" w:type="dxa"/>
              <w:right w:w="150" w:type="dxa"/>
            </w:tcMar>
          </w:tcPr>
          <w:p>
            <w:pPr>
              <w:jc w:val="left"/>
            </w:pPr>
            <w:r>
              <w:rPr>
                <w:b/>
                <w:color w:val="FFFFFF"/>
              </w:rPr>
              <w:t>Technical Mechanism</w:t>
            </w:r>
          </w:p>
        </w:tc>
      </w:tr>
      <w:tr>
        <w:tc>
          <w:tcPr>
            <w:tcW w:type="dxa" w:w="2880"/>
            <w:shd w:fill="F9FAFC"/>
            <w:tcMar>
              <w:top w:w="80" w:type="dxa"/>
              <w:bottom w:w="80" w:type="dxa"/>
              <w:left w:w="120" w:type="dxa"/>
              <w:right w:w="120" w:type="dxa"/>
            </w:tcMar>
          </w:tcPr>
          <w:p>
            <w:r>
              <w:rPr>
                <w:b/>
                <w:sz w:val="20"/>
              </w:rPr>
              <w:t>Hybrid Retrieval</w:t>
            </w:r>
          </w:p>
        </w:tc>
        <w:tc>
          <w:tcPr>
            <w:tcW w:type="dxa" w:w="6480"/>
            <w:shd w:fill="F9FAFC"/>
            <w:tcMar>
              <w:top w:w="80" w:type="dxa"/>
              <w:bottom w:w="80" w:type="dxa"/>
              <w:left w:w="120" w:type="dxa"/>
              <w:right w:w="120" w:type="dxa"/>
            </w:tcMar>
          </w:tcPr>
          <w:p>
            <w:r>
              <w:rPr>
                <w:sz w:val="20"/>
              </w:rPr>
              <w:t>Combines Qdrant vector search (semantic context) with BM25 keyword matching (error codes, parameters) and PostgreSQL metadata filters.</w:t>
            </w:r>
          </w:p>
        </w:tc>
      </w:tr>
      <w:tr>
        <w:tc>
          <w:tcPr>
            <w:tcW w:type="dxa" w:w="2880"/>
            <w:shd w:fill="FFFFFF"/>
            <w:tcMar>
              <w:top w:w="80" w:type="dxa"/>
              <w:bottom w:w="80" w:type="dxa"/>
              <w:left w:w="120" w:type="dxa"/>
              <w:right w:w="120" w:type="dxa"/>
            </w:tcMar>
          </w:tcPr>
          <w:p>
            <w:r>
              <w:rPr>
                <w:b/>
                <w:sz w:val="20"/>
              </w:rPr>
              <w:t>Timeline &amp; Version Analysis</w:t>
            </w:r>
          </w:p>
        </w:tc>
        <w:tc>
          <w:tcPr>
            <w:tcW w:type="dxa" w:w="6480"/>
            <w:shd w:fill="FFFFFF"/>
            <w:tcMar>
              <w:top w:w="80" w:type="dxa"/>
              <w:bottom w:w="80" w:type="dxa"/>
              <w:left w:w="120" w:type="dxa"/>
              <w:right w:w="120" w:type="dxa"/>
            </w:tcMar>
          </w:tcPr>
          <w:p>
            <w:r>
              <w:rPr>
                <w:sz w:val="20"/>
              </w:rPr>
              <w:t>Correlates service version releases with historical incident timestamps to isolate recurring performance anomalies.</w:t>
            </w:r>
          </w:p>
        </w:tc>
      </w:tr>
      <w:tr>
        <w:tc>
          <w:tcPr>
            <w:tcW w:type="dxa" w:w="2880"/>
            <w:shd w:fill="F9FAFC"/>
            <w:tcMar>
              <w:top w:w="80" w:type="dxa"/>
              <w:bottom w:w="80" w:type="dxa"/>
              <w:left w:w="120" w:type="dxa"/>
              <w:right w:w="120" w:type="dxa"/>
            </w:tcMar>
          </w:tcPr>
          <w:p>
            <w:r>
              <w:rPr>
                <w:b/>
                <w:sz w:val="20"/>
              </w:rPr>
              <w:t>Contradiction &amp; Outdated Detection</w:t>
            </w:r>
          </w:p>
        </w:tc>
        <w:tc>
          <w:tcPr>
            <w:tcW w:type="dxa" w:w="6480"/>
            <w:shd w:fill="F9FAFC"/>
            <w:tcMar>
              <w:top w:w="80" w:type="dxa"/>
              <w:bottom w:w="80" w:type="dxa"/>
              <w:left w:w="120" w:type="dxa"/>
              <w:right w:w="120" w:type="dxa"/>
            </w:tcMar>
          </w:tcPr>
          <w:p>
            <w:r>
              <w:rPr>
                <w:sz w:val="20"/>
              </w:rPr>
              <w:t>Identifies conflicting troubleshooting instructions and surfaces clear evidence gaps when information is insufficient.</w:t>
            </w:r>
          </w:p>
        </w:tc>
      </w:tr>
    </w:tbl>
    <w:p>
      <w:pPr>
        <w:spacing w:after="160"/>
      </w:pPr>
    </w:p>
    <w:p>
      <w:pPr>
        <w:keepNext/>
        <w:spacing w:before="320" w:after="120"/>
      </w:pPr>
      <w:r>
        <w:rPr>
          <w:rFonts w:ascii="Calibri" w:hAnsi="Calibri"/>
          <w:b/>
          <w:color w:val="1B365D"/>
          <w:sz w:val="36"/>
        </w:rPr>
        <w:t>2. System Architecture &amp; Multi-Agent Workflow</w:t>
      </w:r>
    </w:p>
    <w:p>
      <w:r>
        <w:t>The system uses a decoupled frontend/backend architecture powered by a LangGraph state machine to coordinate specialized agents. The web interface communicates via FastAPI endpoints, maintaining investigation state across iterative query cycles.</w:t>
      </w:r>
    </w:p>
    <w:p>
      <w:pPr>
        <w:keepNext/>
        <w:spacing w:before="240" w:after="80"/>
      </w:pPr>
      <w:r>
        <w:rPr>
          <w:rFonts w:ascii="Calibri" w:hAnsi="Calibri"/>
          <w:b/>
          <w:color w:val="2F5496"/>
          <w:sz w:val="28"/>
        </w:rPr>
        <w:t>Multi-Agent Roles &amp; Specialization</w:t>
      </w:r>
    </w:p>
    <w:p>
      <w:pPr>
        <w:pStyle w:val="ListBullet"/>
        <w:spacing w:after="60" w:line="276" w:lineRule="auto"/>
      </w:pPr>
      <w:r>
        <w:rPr>
          <w:b/>
          <w:color w:val="262626"/>
        </w:rPr>
        <w:t>Investigation Planner Agent:</w:t>
      </w:r>
      <w:r>
        <w:rPr>
          <w:color w:val="262626"/>
        </w:rPr>
        <w:t xml:space="preserve"> Understands natural language incident queries, decomposes complex queries into distinct sub-questions, and plans search strategy based on investigation state.</w:t>
      </w:r>
    </w:p>
    <w:p>
      <w:pPr>
        <w:pStyle w:val="ListBullet"/>
        <w:spacing w:after="60" w:line="276" w:lineRule="auto"/>
      </w:pPr>
      <w:r>
        <w:rPr>
          <w:b/>
          <w:color w:val="262626"/>
        </w:rPr>
        <w:t>Evidence Retrieval Agent:</w:t>
      </w:r>
      <w:r>
        <w:rPr>
          <w:color w:val="262626"/>
        </w:rPr>
        <w:t xml:space="preserve"> Executes hybrid searches using Qdrant (dense vector embeddings), BM25 (sparse keyword index), and PostgreSQL (metadata/version filters) across document stores.</w:t>
      </w:r>
    </w:p>
    <w:p>
      <w:pPr>
        <w:pStyle w:val="ListBullet"/>
        <w:spacing w:after="60" w:line="276" w:lineRule="auto"/>
      </w:pPr>
      <w:r>
        <w:rPr>
          <w:b/>
          <w:color w:val="262626"/>
        </w:rPr>
        <w:t>Investigation Analysis &amp; Reporting Agent:</w:t>
      </w:r>
      <w:r>
        <w:rPr>
          <w:color w:val="262626"/>
        </w:rPr>
        <w:t xml:space="preserve"> Analyzes retrieved evidence, connects cross-document clues, evaluates version timelines, flags contradictions, and synthesizes the final report with document ID references.</w:t>
      </w:r>
    </w:p>
    <w:p>
      <w:pPr>
        <w:keepNext/>
        <w:spacing w:before="240" w:after="80"/>
      </w:pPr>
      <w:r>
        <w:rPr>
          <w:rFonts w:ascii="Calibri" w:hAnsi="Calibri"/>
          <w:b/>
          <w:color w:val="2F5496"/>
          <w:sz w:val="28"/>
        </w:rPr>
        <w:t>Agentic State Machine &amp; Execution Flow</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180" w:type="dxa"/>
              <w:right w:w="180" w:type="dxa"/>
            </w:tcMar>
          </w:tcPr>
          <w:p>
            <w:pPr>
              <w:spacing w:after="0"/>
            </w:pPr>
            <w:r>
              <w:rPr>
                <w:rFonts w:ascii="Consolas" w:hAnsi="Consolas"/>
                <w:color w:val="1B365D"/>
                <w:sz w:val="17"/>
              </w:rPr>
              <w:t>[ User Query ]</w:t>
              <w:br/>
              <w:t xml:space="preserve">      │</w:t>
              <w:br/>
              <w:t xml:space="preserve">      ▼</w:t>
              <w:br/>
              <w:t>┌────────────────────────────────────────────────────────┐</w:t>
              <w:br/>
              <w:t>│ 1. Planner Agent                                       │</w:t>
              <w:br/>
              <w:t>│    • Parses query &amp; decomposes into sub-questions       │</w:t>
              <w:br/>
              <w:t>│    • Determines target document types &amp; initial scope  │</w:t>
              <w:br/>
              <w:t>└───────────────────────────┬────────────────────────────┘</w:t>
              <w:br/>
              <w:t xml:space="preserve">                            │</w:t>
              <w:br/>
              <w:t xml:space="preserve">                            ▼</w:t>
              <w:br/>
              <w:t>┌────────────────────────────────────────────────────────┐</w:t>
              <w:br/>
              <w:t>│ 2. Evidence Retrieval Agent                            │</w:t>
              <w:br/>
              <w:t>│    • Semantic Search (Qdrant)                          │</w:t>
              <w:br/>
              <w:t>│    • Sparse Keyword Match (BM25)                       │</w:t>
              <w:br/>
              <w:t>│    • Metadata &amp; Version Filtering (PostgreSQL)         │</w:t>
              <w:br/>
              <w:t>└───────────────────────────┬────────────────────────────┘</w:t>
              <w:br/>
              <w:t xml:space="preserve">                            │</w:t>
              <w:br/>
              <w:t xml:space="preserve">                            ▼</w:t>
              <w:br/>
              <w:t>┌────────────────────────────────────────────────────────┐</w:t>
              <w:br/>
              <w:t>│ 3. Analysis &amp; Reporting Agent                          │</w:t>
              <w:br/>
              <w:t>│    • Correlates timestamps &amp; software release versions │</w:t>
              <w:br/>
              <w:t>│    • Detects contradictions &amp; outdated documentation   │</w:t>
              <w:br/>
              <w:t>│    • Evaluates evidence sufficiency                    │</w:t>
              <w:br/>
              <w:t>└───────────────────────────┬────────────────────────────┘</w:t>
              <w:br/>
              <w:t xml:space="preserve">                            │</w:t>
              <w:br/>
              <w:t xml:space="preserve">                 ┌──────────┴──────────┐</w:t>
              <w:br/>
              <w:t xml:space="preserve">                 │ Sufficient Evidence?│</w:t>
              <w:br/>
              <w:t xml:space="preserve">                 └─────┬─────────┬─────┘</w:t>
              <w:br/>
              <w:t xml:space="preserve">                    No │         │ Yes</w:t>
              <w:br/>
              <w:t xml:space="preserve">                       │         ▼</w:t>
              <w:br/>
              <w:t xml:space="preserve">                       │   ┌─────────────────────────────┐</w:t>
              <w:br/>
              <w:t xml:space="preserve">                       │   │ Final Investigation Report  │</w:t>
              <w:br/>
              <w:t xml:space="preserve">                       │   │ (Cited Document IDs &amp; Gaps) │</w:t>
              <w:br/>
              <w:t xml:space="preserve">                       │   └─────────────────────────────┘</w:t>
              <w:br/>
              <w:t xml:space="preserve">                       │</w:t>
              <w:br/>
              <w:t xml:space="preserve">                       └────────► Recursive Loop to Planner</w:t>
            </w:r>
          </w:p>
        </w:tc>
      </w:tr>
    </w:tbl>
    <w:p>
      <w:pPr>
        <w:spacing w:after="240"/>
      </w:pPr>
    </w:p>
    <w:p>
      <w:pPr>
        <w:keepNext/>
        <w:spacing w:before="320" w:after="120"/>
      </w:pPr>
      <w:r>
        <w:rPr>
          <w:rFonts w:ascii="Calibri" w:hAnsi="Calibri"/>
          <w:b/>
          <w:color w:val="1B365D"/>
          <w:sz w:val="36"/>
        </w:rPr>
        <w:t>3. Practical Incident Investigation Walkthrough</w:t>
      </w:r>
    </w:p>
    <w:p>
      <w:r>
        <w:t>To illustrate the multi-agent workflow in practice, consider the following production investigation scenario:</w:t>
      </w:r>
    </w:p>
    <w:p>
      <w:pPr>
        <w:ind w:left="432"/>
      </w:pPr>
      <w:r>
        <w:rPr>
          <w:b/>
          <w:color w:val="2F5496"/>
        </w:rPr>
        <w:t xml:space="preserve">Sample Query: </w:t>
      </w:r>
      <w:r>
        <w:rPr>
          <w:i/>
        </w:rPr>
        <w:t>“The Order API became slow after yesterday’s deployment. Has this happened before?”</w:t>
      </w:r>
    </w:p>
    <w:p>
      <w:pPr>
        <w:pStyle w:val="ListBullet"/>
        <w:spacing w:after="60" w:line="276" w:lineRule="auto"/>
      </w:pPr>
      <w:r>
        <w:rPr>
          <w:b/>
          <w:color w:val="262626"/>
        </w:rPr>
        <w:t xml:space="preserve">1. Query Decomposition: </w:t>
      </w:r>
      <w:r>
        <w:rPr>
          <w:color w:val="262626"/>
        </w:rPr>
        <w:t xml:space="preserve"> The Planner Agent extracts the target service (Order API), change event (deployment), and temporal scope (yesterday vs. historical occurrences). It generates targeted sub-queries for deployment records and past latency postmortems.</w:t>
      </w:r>
    </w:p>
    <w:p>
      <w:pPr>
        <w:pStyle w:val="ListBullet"/>
        <w:spacing w:after="60" w:line="276" w:lineRule="auto"/>
      </w:pPr>
      <w:r>
        <w:rPr>
          <w:b/>
          <w:color w:val="262626"/>
        </w:rPr>
        <w:t xml:space="preserve">2. Multi-Source Search: </w:t>
      </w:r>
      <w:r>
        <w:rPr>
          <w:color w:val="262626"/>
        </w:rPr>
        <w:t xml:space="preserve"> The Retrieval Agent searches Qdrant for semantic matches on latency anomalies and queries PostgreSQL for service deployment logs matching version release timestamps.</w:t>
      </w:r>
    </w:p>
    <w:p>
      <w:pPr>
        <w:pStyle w:val="ListBullet"/>
        <w:spacing w:after="60" w:line="276" w:lineRule="auto"/>
      </w:pPr>
      <w:r>
        <w:rPr>
          <w:b/>
          <w:color w:val="262626"/>
        </w:rPr>
        <w:t xml:space="preserve">3. Cross-Document Correlation: </w:t>
      </w:r>
      <w:r>
        <w:rPr>
          <w:color w:val="262626"/>
        </w:rPr>
        <w:t xml:space="preserve"> The Analysis Agent matches the current deployment delta with a postmortem from three months prior. It notes that a database connection pool threshold was previously exceeded during similar traffic surges.</w:t>
      </w:r>
    </w:p>
    <w:p>
      <w:pPr>
        <w:pStyle w:val="ListBullet"/>
        <w:spacing w:after="60" w:line="276" w:lineRule="auto"/>
      </w:pPr>
      <w:r>
        <w:rPr>
          <w:b/>
          <w:color w:val="262626"/>
        </w:rPr>
        <w:t xml:space="preserve">4. Contradiction Detection: </w:t>
      </w:r>
      <w:r>
        <w:rPr>
          <w:color w:val="262626"/>
        </w:rPr>
        <w:t xml:space="preserve"> The agent flags that a troubleshooting guide updated last month contradicts an older architectural note regarding connection pool limits, explicitly pointing out the outdated guide.</w:t>
      </w:r>
    </w:p>
    <w:p>
      <w:pPr>
        <w:pStyle w:val="ListBullet"/>
        <w:spacing w:after="60" w:line="276" w:lineRule="auto"/>
      </w:pPr>
      <w:r>
        <w:rPr>
          <w:b/>
          <w:color w:val="262626"/>
        </w:rPr>
        <w:t xml:space="preserve">5. Validated Synthesis: </w:t>
      </w:r>
      <w:r>
        <w:rPr>
          <w:color w:val="262626"/>
        </w:rPr>
        <w:t xml:space="preserve"> The system outputs a structured report citing specific document IDs, confirming similar historical occurrences, and identifying missing telemetry logs as a temporary evidence gap.</w:t>
      </w:r>
    </w:p>
    <w:p>
      <w:pPr>
        <w:spacing w:after="160"/>
      </w:pPr>
    </w:p>
    <w:p>
      <w:pPr>
        <w:keepNext/>
        <w:spacing w:before="320" w:after="120"/>
      </w:pPr>
      <w:r>
        <w:rPr>
          <w:rFonts w:ascii="Calibri" w:hAnsi="Calibri"/>
          <w:b/>
          <w:color w:val="1B365D"/>
          <w:sz w:val="36"/>
        </w:rPr>
        <w:t>4. Enterprise Modernization &amp; Scaling Roadmap</w:t>
      </w:r>
    </w:p>
    <w:p>
      <w:r>
        <w:t>While the prototype operates on a multi-category synthetic dataset, expanding this architecture to enterprise production requires integrating live telemetry, automated remediation gates, and continuous knowledge synchronization.</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592"/>
            <w:shd w:fill="1B365D"/>
            <w:tcMar>
              <w:top w:w="100" w:type="dxa"/>
              <w:bottom w:w="100" w:type="dxa"/>
              <w:left w:w="150" w:type="dxa"/>
              <w:right w:w="150" w:type="dxa"/>
            </w:tcMar>
          </w:tcPr>
          <w:p>
            <w:r>
              <w:rPr>
                <w:b/>
                <w:color w:val="FFFFFF"/>
              </w:rPr>
              <w:t>Pillar</w:t>
            </w:r>
          </w:p>
        </w:tc>
        <w:tc>
          <w:tcPr>
            <w:tcW w:type="dxa" w:w="3168"/>
            <w:shd w:fill="1B365D"/>
            <w:tcMar>
              <w:top w:w="100" w:type="dxa"/>
              <w:bottom w:w="100" w:type="dxa"/>
              <w:left w:w="150" w:type="dxa"/>
              <w:right w:w="150" w:type="dxa"/>
            </w:tcMar>
          </w:tcPr>
          <w:p>
            <w:r>
              <w:rPr>
                <w:b/>
                <w:color w:val="FFFFFF"/>
              </w:rPr>
              <w:t>Objective</w:t>
            </w:r>
          </w:p>
        </w:tc>
        <w:tc>
          <w:tcPr>
            <w:tcW w:type="dxa" w:w="3600"/>
            <w:shd w:fill="1B365D"/>
            <w:tcMar>
              <w:top w:w="100" w:type="dxa"/>
              <w:bottom w:w="100" w:type="dxa"/>
              <w:left w:w="150" w:type="dxa"/>
              <w:right w:w="150" w:type="dxa"/>
            </w:tcMar>
          </w:tcPr>
          <w:p>
            <w:r>
              <w:rPr>
                <w:b/>
                <w:color w:val="FFFFFF"/>
              </w:rPr>
              <w:t>Implementation Mechanism</w:t>
            </w:r>
          </w:p>
        </w:tc>
      </w:tr>
      <w:tr>
        <w:tc>
          <w:tcPr>
            <w:tcW w:type="dxa" w:w="2592"/>
            <w:shd w:fill="F9FAFC"/>
            <w:tcMar>
              <w:top w:w="80" w:type="dxa"/>
              <w:bottom w:w="80" w:type="dxa"/>
              <w:left w:w="120" w:type="dxa"/>
              <w:right w:w="120" w:type="dxa"/>
            </w:tcMar>
          </w:tcPr>
          <w:p>
            <w:r>
              <w:rPr>
                <w:b/>
                <w:sz w:val="19"/>
              </w:rPr>
              <w:t>Live System Connectors</w:t>
            </w:r>
          </w:p>
        </w:tc>
        <w:tc>
          <w:tcPr>
            <w:tcW w:type="dxa" w:w="3168"/>
            <w:shd w:fill="F9FAFC"/>
            <w:tcMar>
              <w:top w:w="80" w:type="dxa"/>
              <w:bottom w:w="80" w:type="dxa"/>
              <w:left w:w="120" w:type="dxa"/>
              <w:right w:w="120" w:type="dxa"/>
            </w:tcMar>
          </w:tcPr>
          <w:p>
            <w:r>
              <w:rPr>
                <w:sz w:val="19"/>
              </w:rPr>
              <w:t>Ingest real-time organizational data</w:t>
            </w:r>
          </w:p>
        </w:tc>
        <w:tc>
          <w:tcPr>
            <w:tcW w:type="dxa" w:w="3600"/>
            <w:shd w:fill="F9FAFC"/>
            <w:tcMar>
              <w:top w:w="80" w:type="dxa"/>
              <w:bottom w:w="80" w:type="dxa"/>
              <w:left w:w="120" w:type="dxa"/>
              <w:right w:w="120" w:type="dxa"/>
            </w:tcMar>
          </w:tcPr>
          <w:p>
            <w:r>
              <w:rPr>
                <w:sz w:val="19"/>
              </w:rPr>
              <w:t>Webhooks and streaming connectors for Jira, GitHub, Slack, ServiceNow, Confluence, and Datadog.</w:t>
            </w:r>
          </w:p>
        </w:tc>
      </w:tr>
      <w:tr>
        <w:tc>
          <w:tcPr>
            <w:tcW w:type="dxa" w:w="2592"/>
            <w:shd w:fill="FFFFFF"/>
            <w:tcMar>
              <w:top w:w="80" w:type="dxa"/>
              <w:bottom w:w="80" w:type="dxa"/>
              <w:left w:w="120" w:type="dxa"/>
              <w:right w:w="120" w:type="dxa"/>
            </w:tcMar>
          </w:tcPr>
          <w:p>
            <w:r>
              <w:rPr>
                <w:b/>
                <w:sz w:val="19"/>
              </w:rPr>
              <w:t>Continuous Knowledge Sync</w:t>
            </w:r>
          </w:p>
        </w:tc>
        <w:tc>
          <w:tcPr>
            <w:tcW w:type="dxa" w:w="3168"/>
            <w:shd w:fill="FFFFFF"/>
            <w:tcMar>
              <w:top w:w="80" w:type="dxa"/>
              <w:bottom w:w="80" w:type="dxa"/>
              <w:left w:w="120" w:type="dxa"/>
              <w:right w:w="120" w:type="dxa"/>
            </w:tcMar>
          </w:tcPr>
          <w:p>
            <w:r>
              <w:rPr>
                <w:sz w:val="19"/>
              </w:rPr>
              <w:t>Eliminate stale troubleshooting docs</w:t>
            </w:r>
          </w:p>
        </w:tc>
        <w:tc>
          <w:tcPr>
            <w:tcW w:type="dxa" w:w="3600"/>
            <w:shd w:fill="FFFFFF"/>
            <w:tcMar>
              <w:top w:w="80" w:type="dxa"/>
              <w:bottom w:w="80" w:type="dxa"/>
              <w:left w:w="120" w:type="dxa"/>
              <w:right w:w="120" w:type="dxa"/>
            </w:tcMar>
          </w:tcPr>
          <w:p>
            <w:r>
              <w:rPr>
                <w:sz w:val="19"/>
              </w:rPr>
              <w:t>Event-driven re-indexing pipelines that detect superseded documentation and auto-invalidate outdated vector chunks.</w:t>
            </w:r>
          </w:p>
        </w:tc>
      </w:tr>
      <w:tr>
        <w:tc>
          <w:tcPr>
            <w:tcW w:type="dxa" w:w="2592"/>
            <w:shd w:fill="F9FAFC"/>
            <w:tcMar>
              <w:top w:w="80" w:type="dxa"/>
              <w:bottom w:w="80" w:type="dxa"/>
              <w:left w:w="120" w:type="dxa"/>
              <w:right w:w="120" w:type="dxa"/>
            </w:tcMar>
          </w:tcPr>
          <w:p>
            <w:r>
              <w:rPr>
                <w:b/>
                <w:sz w:val="19"/>
              </w:rPr>
              <w:t>Closed-Loop Remediation</w:t>
            </w:r>
          </w:p>
        </w:tc>
        <w:tc>
          <w:tcPr>
            <w:tcW w:type="dxa" w:w="3168"/>
            <w:shd w:fill="F9FAFC"/>
            <w:tcMar>
              <w:top w:w="80" w:type="dxa"/>
              <w:bottom w:w="80" w:type="dxa"/>
              <w:left w:w="120" w:type="dxa"/>
              <w:right w:w="120" w:type="dxa"/>
            </w:tcMar>
          </w:tcPr>
          <w:p>
            <w:r>
              <w:rPr>
                <w:sz w:val="19"/>
              </w:rPr>
              <w:t>Safe, automated incident resolution</w:t>
            </w:r>
          </w:p>
        </w:tc>
        <w:tc>
          <w:tcPr>
            <w:tcW w:type="dxa" w:w="3600"/>
            <w:shd w:fill="F9FAFC"/>
            <w:tcMar>
              <w:top w:w="80" w:type="dxa"/>
              <w:bottom w:w="80" w:type="dxa"/>
              <w:left w:w="120" w:type="dxa"/>
              <w:right w:w="120" w:type="dxa"/>
            </w:tcMar>
          </w:tcPr>
          <w:p>
            <w:r>
              <w:rPr>
                <w:sz w:val="19"/>
              </w:rPr>
              <w:t>Human-in-the-loop authorization gates allowing the agent to execute pre-approved SRE remediation scripts.</w:t>
            </w:r>
          </w:p>
        </w:tc>
      </w:tr>
      <w:tr>
        <w:tc>
          <w:tcPr>
            <w:tcW w:type="dxa" w:w="2592"/>
            <w:shd w:fill="FFFFFF"/>
            <w:tcMar>
              <w:top w:w="80" w:type="dxa"/>
              <w:bottom w:w="80" w:type="dxa"/>
              <w:left w:w="120" w:type="dxa"/>
              <w:right w:w="120" w:type="dxa"/>
            </w:tcMar>
          </w:tcPr>
          <w:p>
            <w:r>
              <w:rPr>
                <w:b/>
                <w:sz w:val="19"/>
              </w:rPr>
              <w:t>Enterprise Control Plane</w:t>
            </w:r>
          </w:p>
        </w:tc>
        <w:tc>
          <w:tcPr>
            <w:tcW w:type="dxa" w:w="3168"/>
            <w:shd w:fill="FFFFFF"/>
            <w:tcMar>
              <w:top w:w="80" w:type="dxa"/>
              <w:bottom w:w="80" w:type="dxa"/>
              <w:left w:w="120" w:type="dxa"/>
              <w:right w:w="120" w:type="dxa"/>
            </w:tcMar>
          </w:tcPr>
          <w:p>
            <w:r>
              <w:rPr>
                <w:sz w:val="19"/>
              </w:rPr>
              <w:t>Security &amp; operational compliance</w:t>
            </w:r>
          </w:p>
        </w:tc>
        <w:tc>
          <w:tcPr>
            <w:tcW w:type="dxa" w:w="3600"/>
            <w:shd w:fill="FFFFFF"/>
            <w:tcMar>
              <w:top w:w="80" w:type="dxa"/>
              <w:bottom w:w="80" w:type="dxa"/>
              <w:left w:w="120" w:type="dxa"/>
              <w:right w:w="120" w:type="dxa"/>
            </w:tcMar>
          </w:tcPr>
          <w:p>
            <w:r>
              <w:rPr>
                <w:sz w:val="19"/>
              </w:rPr>
              <w:t>OAuth2/OIDC RBAC access controls, audit logging, and OpenTelemetry tracing for agent decisions.</w:t>
            </w:r>
          </w:p>
        </w:tc>
      </w:tr>
    </w:tbl>
    <w:p>
      <w:pPr>
        <w:spacing w:after="32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Project Muggles — Autonomous Incident Investigation Agent |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