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F4E79"/>
          <w:sz w:val="38"/>
        </w:rPr>
        <w:t>SRINIVASAN SETHURAMAN</w:t>
      </w:r>
    </w:p>
    <w:p>
      <w:pPr>
        <w:jc w:val="left"/>
      </w:pPr>
      <w:r>
        <w:rPr>
          <w:rFonts w:ascii="Aptos" w:hAnsi="Aptos"/>
          <w:b/>
          <w:color w:val="2F5597"/>
          <w:sz w:val="21"/>
        </w:rPr>
        <w:t>Cover Letter | Director, Forward-Deployed AI Engineer - AI Mobilization &amp; Transformation</w:t>
      </w:r>
    </w:p>
    <w:p>
      <w:pPr>
        <w:jc w:val="left"/>
      </w:pPr>
      <w:r>
        <w:rPr>
          <w:rFonts w:ascii="Aptos" w:hAnsi="Aptos"/>
          <w:color w:val="595959"/>
          <w:sz w:val="16"/>
        </w:rPr>
        <w:t>Towaco / New York City Metro | +1 407 687 7605 | srinivasan.sethuraman2@cognizant.com | linkedin.com/in/srinivasan-sethuraman-b942173 | U.S. Citizen</w:t>
      </w:r>
    </w:p>
    <w:p>
      <w:pPr>
        <w:spacing w:after="60" w:line="252" w:lineRule="auto"/>
      </w:pPr>
      <w:r>
        <w:rPr>
          <w:rFonts w:ascii="Aptos" w:hAnsi="Aptos"/>
          <w:color w:val="232323"/>
          <w:sz w:val="20"/>
        </w:rPr>
        <w:t>Dear Mastercard Hiring Team,</w:t>
      </w:r>
    </w:p>
    <w:p>
      <w:pPr>
        <w:spacing w:after="60" w:line="252" w:lineRule="auto"/>
      </w:pPr>
      <w:r>
        <w:rPr>
          <w:rFonts w:ascii="Aptos" w:hAnsi="Aptos"/>
          <w:color w:val="232323"/>
          <w:sz w:val="20"/>
        </w:rPr>
        <w:t>I am excited to apply for the Director, Forward-Deployed AI Engineer - AI Mobilization &amp; Transformation role. Mastercard describes this role as an embedded AI transformation leader who partners directly with business units, builds production-grade AI solutions, teaches teams through delivery, and leaves behind sustainable organizational capability. That is exactly the operating model I have been practicing: discover the real business problem, build the reference implementation, secure and govern it, train the teams around it, and convert the engagement into reusable patterns that others can scale.</w:t>
      </w:r>
    </w:p>
    <w:p>
      <w:pPr>
        <w:spacing w:after="60" w:line="252" w:lineRule="auto"/>
      </w:pPr>
      <w:r>
        <w:rPr>
          <w:rFonts w:ascii="Aptos" w:hAnsi="Aptos"/>
          <w:color w:val="232323"/>
          <w:sz w:val="20"/>
        </w:rPr>
        <w:t>My recent work combines hands-on AI engineering with enterprise transformation leadership. I implemented TriZetto AI Gateway patterns across AWS and Azure to connect existing healthcare platforms to cloud GenAI through identity controls, private networking, product APIs/MCP, governed RAG/search, observability, guardrails, and auditable operations. This required the same embedded approach Mastercard is seeking: working with business and technology stakeholders, clarifying ambiguous requirements, designing practical architecture, resolving integration constraints, and creating assets that help teams adopt the pattern beyond the first implementation.</w:t>
      </w:r>
    </w:p>
    <w:p>
      <w:pPr>
        <w:spacing w:after="60" w:line="252" w:lineRule="auto"/>
      </w:pPr>
      <w:r>
        <w:rPr>
          <w:rFonts w:ascii="Aptos" w:hAnsi="Aptos"/>
          <w:color w:val="232323"/>
          <w:sz w:val="20"/>
        </w:rPr>
        <w:t>I also upgraded LLMWiki into a governed enterprise knowledge and agent context layer with evaluation gates, cost controls, OKF document relativeness graph, harness context loading, and agentic security controls. I then expanded LLMWiki across two complementary implementation paths. The AWS-native AgentCore-style path emphasizes production alignment, managed runtime and gateway patterns, HITL, AI Search, memory, observability, and secure cloud execution. The Neuro SAN / Cognizant agentic framework path emphasizes mobilization: plain-English HOCON instructions, thin coded tools, business-readable orchestration, rapid experimentation, and train-the-trainer enablement. I understand not only how to build these systems, but how to explain when each approach is appropriate and what compromises must be managed.</w:t>
      </w:r>
    </w:p>
    <w:p>
      <w:pPr>
        <w:spacing w:after="60" w:line="252" w:lineRule="auto"/>
      </w:pPr>
      <w:r>
        <w:rPr>
          <w:rFonts w:ascii="Aptos" w:hAnsi="Aptos"/>
          <w:color w:val="232323"/>
          <w:sz w:val="20"/>
        </w:rPr>
        <w:t>The Mastercard role also emphasizes building while teaching. That is a major part of my differentiator. I routinely create ARB-ready architecture packs, decision matrices, playbooks, reference architectures, troubleshooting guides, executive summaries, and implementation narratives for technical and non-technical audiences. I am comfortable coaching engineers, analysts, product managers, operations teams, and leaders on AI-first ways of working, agent design, prompt practices, workflow automation, evaluation, observability, governance, and secure adoption.</w:t>
      </w:r>
    </w:p>
    <w:p>
      <w:pPr>
        <w:spacing w:after="60" w:line="252" w:lineRule="auto"/>
      </w:pPr>
      <w:r>
        <w:rPr>
          <w:rFonts w:ascii="Aptos" w:hAnsi="Aptos"/>
          <w:color w:val="232323"/>
          <w:sz w:val="20"/>
        </w:rPr>
        <w:t>I bring the production discipline expected in a financial services environment: strong information security mindset, responsible AI controls, least-privilege identity patterns, auditability, governance, risk awareness, deployment discipline, and executive communication. My background spans healthcare, financial services, utilities, telecom, hospitality, and regulated enterprise modernization, giving me the practical judgement to introduce AI without bypassing operating controls or creating pilot-only solutions.</w:t>
      </w:r>
    </w:p>
    <w:p>
      <w:pPr>
        <w:spacing w:after="60" w:line="252" w:lineRule="auto"/>
      </w:pPr>
      <w:r>
        <w:rPr>
          <w:rFonts w:ascii="Aptos" w:hAnsi="Aptos"/>
          <w:color w:val="232323"/>
          <w:sz w:val="20"/>
        </w:rPr>
        <w:t>What attracts me most is Mastercard’s success measure: not the number of agents built by one person, but the number of teams that can build without that person. That aligns deeply with how I approach forward-deployed AI. I want to leave behind trained champions, reusable adoption playbooks, measurable business value, responsible AI patterns, and teams that are confident using AI, agents, Copilot practices, and multi-agent systems in their daily work.</w:t>
      </w:r>
    </w:p>
    <w:p>
      <w:pPr>
        <w:spacing w:after="60" w:line="252" w:lineRule="auto"/>
      </w:pPr>
      <w:r>
        <w:rPr>
          <w:rFonts w:ascii="Aptos" w:hAnsi="Aptos"/>
          <w:color w:val="232323"/>
          <w:sz w:val="20"/>
        </w:rPr>
        <w:t>I would welcome the opportunity to bring my combination of hands-on AI engineering, cloud-native architecture, regulated enterprise delivery, teaching mindset, and transformation leadership to Mastercard’s AI Mobilization &amp; Transformation team.</w:t>
      </w:r>
    </w:p>
    <w:p>
      <w:pPr>
        <w:spacing w:after="60" w:line="252" w:lineRule="auto"/>
      </w:pPr>
      <w:r>
        <w:rPr>
          <w:rFonts w:ascii="Aptos" w:hAnsi="Aptos"/>
          <w:color w:val="232323"/>
          <w:sz w:val="20"/>
        </w:rPr>
        <w:t>Sincerely,</w:t>
      </w:r>
    </w:p>
    <w:p>
      <w:pPr>
        <w:spacing w:after="60" w:line="252" w:lineRule="auto"/>
      </w:pPr>
      <w:r>
        <w:rPr>
          <w:rFonts w:ascii="Aptos" w:hAnsi="Aptos"/>
          <w:color w:val="232323"/>
          <w:sz w:val="20"/>
        </w:rPr>
        <w:t>Srinivasan Sethuraman</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