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564"/>
          <w:sz w:val="32"/>
        </w:rPr>
        <w:t>AI-Driven Terraform Code Generation for Multi-Cloud Infrastructure Using TerraDS</w:t>
      </w:r>
    </w:p>
    <w:p>
      <w:pPr>
        <w:jc w:val="center"/>
      </w:pPr>
      <w:r>
        <w:rPr>
          <w:rFonts w:ascii="Calibri" w:hAnsi="Calibri"/>
          <w:color w:val="2E74B5"/>
          <w:sz w:val="24"/>
        </w:rPr>
        <w:t>Experimental Results — All Nine Experiments</w:t>
      </w:r>
    </w:p>
    <w:p/>
    <w:p>
      <w:pPr>
        <w:pStyle w:val="Heading1"/>
      </w:pPr>
      <w:r>
        <w:rPr>
          <w:rFonts w:ascii="Calibri" w:hAnsi="Calibri"/>
          <w:color w:val="1F3564"/>
        </w:rPr>
        <w:t>Section 10 – Suggested Final Result Table (All 9 Experiments Ranked)</w:t>
      </w:r>
    </w:p>
    <w:p>
      <w:pPr>
        <w:spacing w:before="40" w:after="40"/>
      </w:pPr>
      <w:r>
        <w:rPr>
          <w:rFonts w:ascii="Calibri" w:hAnsi="Calibri"/>
          <w:b w:val="0"/>
          <w:i w:val="0"/>
          <w:sz w:val="21"/>
        </w:rPr>
        <w:t>Ranked by weighted composite score (highest to lowest). Security Issues and Hardcoded Secrets are averages per sample (lower is better). Code Similarity is reported for information only and excluded from the weighted score.</w:t>
      </w:r>
    </w:p>
    <w:p>
      <w:r>
        <w:rPr>
          <w:rFonts w:ascii="Calibri" w:hAnsi="Calibri"/>
          <w:b/>
          <w:color w:val="404040"/>
          <w:sz w:val="20"/>
        </w:rPr>
        <w:t>Table 1: Final Comparison of All Nine Experiments</w:t>
      </w:r>
    </w:p>
    <w:tbl>
      <w:tblPr>
        <w:tblStyle w:val="TableGrid"/>
        <w:tblW w:type="auto" w:w="0"/>
        <w:jc w:val="center"/>
        <w:tblLook w:firstColumn="1" w:firstRow="1" w:lastColumn="0" w:lastRow="0" w:noHBand="0" w:noVBand="1" w:val="04A0"/>
      </w:tblPr>
      <w:tblGrid>
        <w:gridCol w:w="692"/>
        <w:gridCol w:w="692"/>
        <w:gridCol w:w="692"/>
        <w:gridCol w:w="692"/>
        <w:gridCol w:w="692"/>
        <w:gridCol w:w="692"/>
        <w:gridCol w:w="692"/>
        <w:gridCol w:w="692"/>
        <w:gridCol w:w="692"/>
        <w:gridCol w:w="692"/>
        <w:gridCol w:w="692"/>
        <w:gridCol w:w="692"/>
        <w:gridCol w:w="692"/>
        <w:gridCol w:w="692"/>
      </w:tblGrid>
      <w:tr>
        <w:tc>
          <w:tcPr>
            <w:tcW w:type="dxa" w:w="454"/>
            <w:shd w:val="clear" w:color="auto" w:fill="1F3564"/>
          </w:tcPr>
          <w:p>
            <w:pPr>
              <w:spacing w:before="20" w:after="20"/>
              <w:jc w:val="center"/>
            </w:pPr>
            <w:r>
              <w:rPr>
                <w:rFonts w:ascii="Calibri" w:hAnsi="Calibri"/>
                <w:b/>
                <w:i w:val="0"/>
                <w:color w:val="FFFFFF"/>
                <w:sz w:val="16"/>
              </w:rPr>
              <w:t>ID</w:t>
            </w:r>
          </w:p>
        </w:tc>
        <w:tc>
          <w:tcPr>
            <w:tcW w:type="dxa" w:w="1814"/>
            <w:shd w:val="clear" w:color="auto" w:fill="1F3564"/>
          </w:tcPr>
          <w:p>
            <w:pPr>
              <w:spacing w:before="20" w:after="20"/>
              <w:jc w:val="center"/>
            </w:pPr>
            <w:r>
              <w:rPr>
                <w:rFonts w:ascii="Calibri" w:hAnsi="Calibri"/>
                <w:b/>
                <w:i w:val="0"/>
                <w:color w:val="FFFFFF"/>
                <w:sz w:val="16"/>
              </w:rPr>
              <w:t>Experiment</w:t>
            </w:r>
          </w:p>
        </w:tc>
        <w:tc>
          <w:tcPr>
            <w:tcW w:type="dxa" w:w="737"/>
            <w:shd w:val="clear" w:color="auto" w:fill="1F3564"/>
          </w:tcPr>
          <w:p>
            <w:pPr>
              <w:spacing w:before="20" w:after="20"/>
              <w:jc w:val="center"/>
            </w:pPr>
            <w:r>
              <w:rPr>
                <w:rFonts w:ascii="Calibri" w:hAnsi="Calibri"/>
                <w:b/>
                <w:i w:val="0"/>
                <w:color w:val="FFFFFF"/>
                <w:sz w:val="16"/>
              </w:rPr>
              <w:t>HCL</w:t>
              <w:br/>
              <w:t>Syntax</w:t>
              <w:br/>
              <w:t>%</w:t>
            </w:r>
          </w:p>
        </w:tc>
        <w:tc>
          <w:tcPr>
            <w:tcW w:type="dxa" w:w="680"/>
            <w:shd w:val="clear" w:color="auto" w:fill="1F3564"/>
          </w:tcPr>
          <w:p>
            <w:pPr>
              <w:spacing w:before="20" w:after="20"/>
              <w:jc w:val="center"/>
            </w:pPr>
            <w:r>
              <w:rPr>
                <w:rFonts w:ascii="Calibri" w:hAnsi="Calibri"/>
                <w:b/>
                <w:i w:val="0"/>
                <w:color w:val="FFFFFF"/>
                <w:sz w:val="16"/>
              </w:rPr>
              <w:t>Format</w:t>
              <w:br/>
              <w:t>Pass</w:t>
              <w:br/>
              <w:t>%</w:t>
            </w:r>
          </w:p>
        </w:tc>
        <w:tc>
          <w:tcPr>
            <w:tcW w:type="dxa" w:w="737"/>
            <w:shd w:val="clear" w:color="auto" w:fill="1F3564"/>
          </w:tcPr>
          <w:p>
            <w:pPr>
              <w:spacing w:before="20" w:after="20"/>
              <w:jc w:val="center"/>
            </w:pPr>
            <w:r>
              <w:rPr>
                <w:rFonts w:ascii="Calibri" w:hAnsi="Calibri"/>
                <w:b/>
                <w:i w:val="0"/>
                <w:color w:val="FFFFFF"/>
                <w:sz w:val="16"/>
              </w:rPr>
              <w:t>Validation</w:t>
              <w:br/>
              <w:t>Pass %</w:t>
            </w:r>
          </w:p>
        </w:tc>
        <w:tc>
          <w:tcPr>
            <w:tcW w:type="dxa" w:w="737"/>
            <w:shd w:val="clear" w:color="auto" w:fill="1F3564"/>
          </w:tcPr>
          <w:p>
            <w:pPr>
              <w:spacing w:before="20" w:after="20"/>
              <w:jc w:val="center"/>
            </w:pPr>
            <w:r>
              <w:rPr>
                <w:rFonts w:ascii="Calibri" w:hAnsi="Calibri"/>
                <w:b/>
                <w:i w:val="0"/>
                <w:color w:val="FFFFFF"/>
                <w:sz w:val="16"/>
              </w:rPr>
              <w:t>Provider</w:t>
              <w:br/>
              <w:t>Correct</w:t>
              <w:br/>
              <w:t>%</w:t>
            </w:r>
          </w:p>
        </w:tc>
        <w:tc>
          <w:tcPr>
            <w:tcW w:type="dxa" w:w="737"/>
            <w:shd w:val="clear" w:color="auto" w:fill="1F3564"/>
          </w:tcPr>
          <w:p>
            <w:pPr>
              <w:spacing w:before="20" w:after="20"/>
              <w:jc w:val="center"/>
            </w:pPr>
            <w:r>
              <w:rPr>
                <w:rFonts w:ascii="Calibri" w:hAnsi="Calibri"/>
                <w:b/>
                <w:i w:val="0"/>
                <w:color w:val="FFFFFF"/>
                <w:sz w:val="16"/>
              </w:rPr>
              <w:t>Resource</w:t>
              <w:br/>
              <w:t>Coverage</w:t>
              <w:br/>
              <w:t>%</w:t>
            </w:r>
          </w:p>
        </w:tc>
        <w:tc>
          <w:tcPr>
            <w:tcW w:type="dxa" w:w="737"/>
            <w:shd w:val="clear" w:color="auto" w:fill="1F3564"/>
          </w:tcPr>
          <w:p>
            <w:pPr>
              <w:spacing w:before="20" w:after="20"/>
              <w:jc w:val="center"/>
            </w:pPr>
            <w:r>
              <w:rPr>
                <w:rFonts w:ascii="Calibri" w:hAnsi="Calibri"/>
                <w:b/>
                <w:i w:val="0"/>
                <w:color w:val="FFFFFF"/>
                <w:sz w:val="16"/>
              </w:rPr>
              <w:t>Dep.</w:t>
              <w:br/>
              <w:t>Score</w:t>
              <w:br/>
              <w:t>%</w:t>
            </w:r>
          </w:p>
        </w:tc>
        <w:tc>
          <w:tcPr>
            <w:tcW w:type="dxa" w:w="624"/>
            <w:shd w:val="clear" w:color="auto" w:fill="1F3564"/>
          </w:tcPr>
          <w:p>
            <w:pPr>
              <w:spacing w:before="20" w:after="20"/>
              <w:jc w:val="center"/>
            </w:pPr>
            <w:r>
              <w:rPr>
                <w:rFonts w:ascii="Calibri" w:hAnsi="Calibri"/>
                <w:b/>
                <w:i w:val="0"/>
                <w:color w:val="FFFFFF"/>
                <w:sz w:val="16"/>
              </w:rPr>
              <w:t>Sec</w:t>
              <w:br/>
              <w:t>Issues</w:t>
              <w:br/>
              <w:t>↓</w:t>
            </w:r>
          </w:p>
        </w:tc>
        <w:tc>
          <w:tcPr>
            <w:tcW w:type="dxa" w:w="680"/>
            <w:shd w:val="clear" w:color="auto" w:fill="1F3564"/>
          </w:tcPr>
          <w:p>
            <w:pPr>
              <w:spacing w:before="20" w:after="20"/>
              <w:jc w:val="center"/>
            </w:pPr>
            <w:r>
              <w:rPr>
                <w:rFonts w:ascii="Calibri" w:hAnsi="Calibri"/>
                <w:b/>
                <w:i w:val="0"/>
                <w:color w:val="FFFFFF"/>
                <w:sz w:val="16"/>
              </w:rPr>
              <w:t>HC</w:t>
              <w:br/>
              <w:t>Secrets</w:t>
              <w:br/>
              <w:t>↓</w:t>
            </w:r>
          </w:p>
        </w:tc>
        <w:tc>
          <w:tcPr>
            <w:tcW w:type="dxa" w:w="850"/>
            <w:shd w:val="clear" w:color="auto" w:fill="1F3564"/>
          </w:tcPr>
          <w:p>
            <w:pPr>
              <w:spacing w:before="20" w:after="20"/>
              <w:jc w:val="center"/>
            </w:pPr>
            <w:r>
              <w:rPr>
                <w:rFonts w:ascii="Calibri" w:hAnsi="Calibri"/>
                <w:b/>
                <w:i w:val="0"/>
                <w:color w:val="FFFFFF"/>
                <w:sz w:val="16"/>
              </w:rPr>
              <w:t>Best</w:t>
              <w:br/>
              <w:t>Practice</w:t>
              <w:br/>
              <w:t>%</w:t>
            </w:r>
          </w:p>
        </w:tc>
        <w:tc>
          <w:tcPr>
            <w:tcW w:type="dxa" w:w="737"/>
            <w:shd w:val="clear" w:color="auto" w:fill="1F3564"/>
          </w:tcPr>
          <w:p>
            <w:pPr>
              <w:spacing w:before="20" w:after="20"/>
              <w:jc w:val="center"/>
            </w:pPr>
            <w:r>
              <w:rPr>
                <w:rFonts w:ascii="Calibri" w:hAnsi="Calibri"/>
                <w:b/>
                <w:i w:val="0"/>
                <w:color w:val="FFFFFF"/>
                <w:sz w:val="16"/>
              </w:rPr>
              <w:t>Code</w:t>
              <w:br/>
              <w:t>Sim %</w:t>
            </w:r>
          </w:p>
        </w:tc>
        <w:tc>
          <w:tcPr>
            <w:tcW w:type="dxa" w:w="737"/>
            <w:shd w:val="clear" w:color="auto" w:fill="1F3564"/>
          </w:tcPr>
          <w:p>
            <w:pPr>
              <w:spacing w:before="20" w:after="20"/>
              <w:jc w:val="center"/>
            </w:pPr>
            <w:r>
              <w:rPr>
                <w:rFonts w:ascii="Calibri" w:hAnsi="Calibri"/>
                <w:b/>
                <w:i w:val="0"/>
                <w:color w:val="FFFFFF"/>
                <w:sz w:val="16"/>
              </w:rPr>
              <w:t>Score</w:t>
              <w:br/>
              <w:t>/100</w:t>
            </w:r>
          </w:p>
        </w:tc>
        <w:tc>
          <w:tcPr>
            <w:tcW w:type="dxa" w:w="510"/>
            <w:shd w:val="clear" w:color="auto" w:fill="1F3564"/>
          </w:tcPr>
          <w:p>
            <w:pPr>
              <w:spacing w:before="20" w:after="20"/>
              <w:jc w:val="center"/>
            </w:pPr>
            <w:r>
              <w:rPr>
                <w:rFonts w:ascii="Calibri" w:hAnsi="Calibri"/>
                <w:b/>
                <w:i w:val="0"/>
                <w:color w:val="FFFFFF"/>
                <w:sz w:val="16"/>
              </w:rPr>
              <w:t>Rank</w:t>
            </w:r>
          </w:p>
        </w:tc>
      </w:tr>
      <w:tr>
        <w:tc>
          <w:tcPr>
            <w:tcW w:type="dxa" w:w="692"/>
            <w:shd w:val="clear" w:color="auto" w:fill="BDD7EE"/>
          </w:tcPr>
          <w:p>
            <w:pPr>
              <w:spacing w:before="20" w:after="20"/>
              <w:jc w:val="center"/>
            </w:pPr>
            <w:r>
              <w:rPr>
                <w:rFonts w:ascii="Calibri" w:hAnsi="Calibri"/>
                <w:b/>
                <w:i w:val="0"/>
                <w:sz w:val="16"/>
              </w:rPr>
              <w:t>E09</w:t>
            </w:r>
          </w:p>
        </w:tc>
        <w:tc>
          <w:tcPr>
            <w:tcW w:type="dxa" w:w="692"/>
            <w:shd w:val="clear" w:color="auto" w:fill="BDD7EE"/>
          </w:tcPr>
          <w:p>
            <w:pPr>
              <w:spacing w:before="20" w:after="20"/>
              <w:jc w:val="left"/>
            </w:pPr>
            <w:r>
              <w:rPr>
                <w:rFonts w:ascii="Calibri" w:hAnsi="Calibri"/>
                <w:b/>
                <w:i w:val="0"/>
                <w:sz w:val="16"/>
              </w:rPr>
              <w:t>Validation Feedback Repair</w:t>
            </w:r>
          </w:p>
        </w:tc>
        <w:tc>
          <w:tcPr>
            <w:tcW w:type="dxa" w:w="692"/>
            <w:shd w:val="clear" w:color="auto" w:fill="BDD7EE"/>
          </w:tcPr>
          <w:p>
            <w:pPr>
              <w:spacing w:before="20" w:after="20"/>
              <w:jc w:val="center"/>
            </w:pPr>
            <w:r>
              <w:rPr>
                <w:rFonts w:ascii="Calibri" w:hAnsi="Calibri"/>
                <w:b/>
                <w:i w:val="0"/>
                <w:sz w:val="16"/>
              </w:rPr>
              <w:t>100%</w:t>
            </w:r>
          </w:p>
        </w:tc>
        <w:tc>
          <w:tcPr>
            <w:tcW w:type="dxa" w:w="692"/>
            <w:shd w:val="clear" w:color="auto" w:fill="BDD7EE"/>
          </w:tcPr>
          <w:p>
            <w:pPr>
              <w:spacing w:before="20" w:after="20"/>
              <w:jc w:val="center"/>
            </w:pPr>
            <w:r>
              <w:rPr>
                <w:rFonts w:ascii="Calibri" w:hAnsi="Calibri"/>
                <w:b/>
                <w:i w:val="0"/>
                <w:sz w:val="16"/>
              </w:rPr>
              <w:t>100%</w:t>
            </w:r>
          </w:p>
        </w:tc>
        <w:tc>
          <w:tcPr>
            <w:tcW w:type="dxa" w:w="692"/>
            <w:shd w:val="clear" w:color="auto" w:fill="BDD7EE"/>
          </w:tcPr>
          <w:p>
            <w:pPr>
              <w:spacing w:before="20" w:after="20"/>
              <w:jc w:val="center"/>
            </w:pPr>
            <w:r>
              <w:rPr>
                <w:rFonts w:ascii="Calibri" w:hAnsi="Calibri"/>
                <w:b/>
                <w:i w:val="0"/>
                <w:sz w:val="16"/>
              </w:rPr>
              <w:t>100%</w:t>
            </w:r>
          </w:p>
        </w:tc>
        <w:tc>
          <w:tcPr>
            <w:tcW w:type="dxa" w:w="692"/>
            <w:shd w:val="clear" w:color="auto" w:fill="BDD7EE"/>
          </w:tcPr>
          <w:p>
            <w:pPr>
              <w:spacing w:before="20" w:after="20"/>
              <w:jc w:val="center"/>
            </w:pPr>
            <w:r>
              <w:rPr>
                <w:rFonts w:ascii="Calibri" w:hAnsi="Calibri"/>
                <w:b/>
                <w:i w:val="0"/>
                <w:sz w:val="16"/>
              </w:rPr>
              <w:t>100%</w:t>
            </w:r>
          </w:p>
        </w:tc>
        <w:tc>
          <w:tcPr>
            <w:tcW w:type="dxa" w:w="692"/>
            <w:shd w:val="clear" w:color="auto" w:fill="BDD7EE"/>
          </w:tcPr>
          <w:p>
            <w:pPr>
              <w:spacing w:before="20" w:after="20"/>
              <w:jc w:val="center"/>
            </w:pPr>
            <w:r>
              <w:rPr>
                <w:rFonts w:ascii="Calibri" w:hAnsi="Calibri"/>
                <w:b/>
                <w:i w:val="0"/>
                <w:sz w:val="16"/>
              </w:rPr>
              <w:t>89.33%</w:t>
            </w:r>
          </w:p>
        </w:tc>
        <w:tc>
          <w:tcPr>
            <w:tcW w:type="dxa" w:w="692"/>
            <w:shd w:val="clear" w:color="auto" w:fill="BDD7EE"/>
          </w:tcPr>
          <w:p>
            <w:pPr>
              <w:spacing w:before="20" w:after="20"/>
              <w:jc w:val="center"/>
            </w:pPr>
            <w:r>
              <w:rPr>
                <w:rFonts w:ascii="Calibri" w:hAnsi="Calibri"/>
                <w:b/>
                <w:i w:val="0"/>
                <w:sz w:val="16"/>
              </w:rPr>
              <w:t>99.87%</w:t>
            </w:r>
          </w:p>
        </w:tc>
        <w:tc>
          <w:tcPr>
            <w:tcW w:type="dxa" w:w="692"/>
            <w:shd w:val="clear" w:color="auto" w:fill="BDD7EE"/>
          </w:tcPr>
          <w:p>
            <w:pPr>
              <w:spacing w:before="20" w:after="20"/>
              <w:jc w:val="center"/>
            </w:pPr>
            <w:r>
              <w:rPr>
                <w:rFonts w:ascii="Calibri" w:hAnsi="Calibri"/>
                <w:b/>
                <w:i w:val="0"/>
                <w:sz w:val="16"/>
              </w:rPr>
              <w:t>0.12</w:t>
            </w:r>
          </w:p>
        </w:tc>
        <w:tc>
          <w:tcPr>
            <w:tcW w:type="dxa" w:w="692"/>
            <w:shd w:val="clear" w:color="auto" w:fill="BDD7EE"/>
          </w:tcPr>
          <w:p>
            <w:pPr>
              <w:spacing w:before="20" w:after="20"/>
              <w:jc w:val="center"/>
            </w:pPr>
            <w:r>
              <w:rPr>
                <w:rFonts w:ascii="Calibri" w:hAnsi="Calibri"/>
                <w:b/>
                <w:i w:val="0"/>
                <w:sz w:val="16"/>
              </w:rPr>
              <w:t>0.00</w:t>
            </w:r>
          </w:p>
        </w:tc>
        <w:tc>
          <w:tcPr>
            <w:tcW w:type="dxa" w:w="692"/>
            <w:shd w:val="clear" w:color="auto" w:fill="BDD7EE"/>
          </w:tcPr>
          <w:p>
            <w:pPr>
              <w:spacing w:before="20" w:after="20"/>
              <w:jc w:val="center"/>
            </w:pPr>
            <w:r>
              <w:rPr>
                <w:rFonts w:ascii="Calibri" w:hAnsi="Calibri"/>
                <w:b/>
                <w:i w:val="0"/>
                <w:sz w:val="16"/>
              </w:rPr>
              <w:t>70.75%</w:t>
            </w:r>
          </w:p>
        </w:tc>
        <w:tc>
          <w:tcPr>
            <w:tcW w:type="dxa" w:w="692"/>
            <w:shd w:val="clear" w:color="auto" w:fill="BDD7EE"/>
          </w:tcPr>
          <w:p>
            <w:pPr>
              <w:spacing w:before="20" w:after="20"/>
              <w:jc w:val="center"/>
            </w:pPr>
            <w:r>
              <w:rPr>
                <w:rFonts w:ascii="Calibri" w:hAnsi="Calibri"/>
                <w:b/>
                <w:i w:val="0"/>
                <w:sz w:val="16"/>
              </w:rPr>
              <w:t>9.24%</w:t>
            </w:r>
          </w:p>
        </w:tc>
        <w:tc>
          <w:tcPr>
            <w:tcW w:type="dxa" w:w="692"/>
            <w:shd w:val="clear" w:color="auto" w:fill="BDD7EE"/>
          </w:tcPr>
          <w:p>
            <w:pPr>
              <w:spacing w:before="20" w:after="20"/>
              <w:jc w:val="center"/>
            </w:pPr>
            <w:r>
              <w:rPr>
                <w:rFonts w:ascii="Calibri" w:hAnsi="Calibri"/>
                <w:b/>
                <w:i w:val="0"/>
                <w:sz w:val="16"/>
              </w:rPr>
              <w:t>95.34</w:t>
            </w:r>
          </w:p>
        </w:tc>
        <w:tc>
          <w:tcPr>
            <w:tcW w:type="dxa" w:w="692"/>
            <w:shd w:val="clear" w:color="auto" w:fill="BDD7EE"/>
            <w:shd w:val="clear" w:color="auto" w:fill="FFC000"/>
          </w:tcPr>
          <w:p>
            <w:pPr>
              <w:spacing w:before="20" w:after="20"/>
              <w:jc w:val="center"/>
            </w:pPr>
            <w:r>
              <w:rPr>
                <w:rFonts w:ascii="Calibri" w:hAnsi="Calibri"/>
                <w:b/>
                <w:i w:val="0"/>
                <w:color w:val="FFFFFF"/>
                <w:sz w:val="16"/>
              </w:rPr>
              <w:t>1</w:t>
            </w:r>
          </w:p>
        </w:tc>
      </w:tr>
      <w:tr>
        <w:tc>
          <w:tcPr>
            <w:tcW w:type="dxa" w:w="692"/>
            <w:shd w:val="clear" w:color="auto" w:fill="FFFFFF"/>
          </w:tcPr>
          <w:p>
            <w:pPr>
              <w:spacing w:before="20" w:after="20"/>
              <w:jc w:val="center"/>
            </w:pPr>
            <w:r>
              <w:rPr>
                <w:rFonts w:ascii="Calibri" w:hAnsi="Calibri"/>
                <w:b w:val="0"/>
                <w:i w:val="0"/>
                <w:sz w:val="16"/>
              </w:rPr>
              <w:t>E08</w:t>
            </w:r>
          </w:p>
        </w:tc>
        <w:tc>
          <w:tcPr>
            <w:tcW w:type="dxa" w:w="692"/>
            <w:shd w:val="clear" w:color="auto" w:fill="FFFFFF"/>
          </w:tcPr>
          <w:p>
            <w:pPr>
              <w:spacing w:before="20" w:after="20"/>
              <w:jc w:val="left"/>
            </w:pPr>
            <w:r>
              <w:rPr>
                <w:rFonts w:ascii="Calibri" w:hAnsi="Calibri"/>
                <w:b w:val="0"/>
                <w:i w:val="0"/>
                <w:sz w:val="16"/>
              </w:rPr>
              <w:t>Security-Aware Generation</w:t>
            </w:r>
          </w:p>
        </w:tc>
        <w:tc>
          <w:tcPr>
            <w:tcW w:type="dxa" w:w="692"/>
            <w:shd w:val="clear" w:color="auto" w:fill="FFFFFF"/>
          </w:tcPr>
          <w:p>
            <w:pPr>
              <w:spacing w:before="20" w:after="20"/>
              <w:jc w:val="center"/>
            </w:pPr>
            <w:r>
              <w:rPr>
                <w:rFonts w:ascii="Calibri" w:hAnsi="Calibri"/>
                <w:b w:val="0"/>
                <w:i w:val="0"/>
                <w:sz w:val="16"/>
              </w:rPr>
              <w:t>98.67%</w:t>
            </w:r>
          </w:p>
        </w:tc>
        <w:tc>
          <w:tcPr>
            <w:tcW w:type="dxa" w:w="692"/>
            <w:shd w:val="clear" w:color="auto" w:fill="FFFFFF"/>
          </w:tcPr>
          <w:p>
            <w:pPr>
              <w:spacing w:before="20" w:after="20"/>
              <w:jc w:val="center"/>
            </w:pPr>
            <w:r>
              <w:rPr>
                <w:rFonts w:ascii="Calibri" w:hAnsi="Calibri"/>
                <w:b w:val="0"/>
                <w:i w:val="0"/>
                <w:sz w:val="16"/>
              </w:rPr>
              <w:t>100%</w:t>
            </w:r>
          </w:p>
        </w:tc>
        <w:tc>
          <w:tcPr>
            <w:tcW w:type="dxa" w:w="692"/>
            <w:shd w:val="clear" w:color="auto" w:fill="FFFFFF"/>
          </w:tcPr>
          <w:p>
            <w:pPr>
              <w:spacing w:before="20" w:after="20"/>
              <w:jc w:val="center"/>
            </w:pPr>
            <w:r>
              <w:rPr>
                <w:rFonts w:ascii="Calibri" w:hAnsi="Calibri"/>
                <w:b w:val="0"/>
                <w:i w:val="0"/>
                <w:sz w:val="16"/>
              </w:rPr>
              <w:t>98.67%</w:t>
            </w:r>
          </w:p>
        </w:tc>
        <w:tc>
          <w:tcPr>
            <w:tcW w:type="dxa" w:w="692"/>
            <w:shd w:val="clear" w:color="auto" w:fill="FFFFFF"/>
          </w:tcPr>
          <w:p>
            <w:pPr>
              <w:spacing w:before="20" w:after="20"/>
              <w:jc w:val="center"/>
            </w:pPr>
            <w:r>
              <w:rPr>
                <w:rFonts w:ascii="Calibri" w:hAnsi="Calibri"/>
                <w:b w:val="0"/>
                <w:i w:val="0"/>
                <w:sz w:val="16"/>
              </w:rPr>
              <w:t>100%</w:t>
            </w:r>
          </w:p>
        </w:tc>
        <w:tc>
          <w:tcPr>
            <w:tcW w:type="dxa" w:w="692"/>
            <w:shd w:val="clear" w:color="auto" w:fill="FFFFFF"/>
          </w:tcPr>
          <w:p>
            <w:pPr>
              <w:spacing w:before="20" w:after="20"/>
              <w:jc w:val="center"/>
            </w:pPr>
            <w:r>
              <w:rPr>
                <w:rFonts w:ascii="Calibri" w:hAnsi="Calibri"/>
                <w:b w:val="0"/>
                <w:i w:val="0"/>
                <w:sz w:val="16"/>
              </w:rPr>
              <w:t>91.17%</w:t>
            </w:r>
          </w:p>
        </w:tc>
        <w:tc>
          <w:tcPr>
            <w:tcW w:type="dxa" w:w="692"/>
            <w:shd w:val="clear" w:color="auto" w:fill="FFFFFF"/>
          </w:tcPr>
          <w:p>
            <w:pPr>
              <w:spacing w:before="20" w:after="20"/>
              <w:jc w:val="center"/>
            </w:pPr>
            <w:r>
              <w:rPr>
                <w:rFonts w:ascii="Calibri" w:hAnsi="Calibri"/>
                <w:b w:val="0"/>
                <w:i w:val="0"/>
                <w:sz w:val="16"/>
              </w:rPr>
              <w:t>98.67%</w:t>
            </w:r>
          </w:p>
        </w:tc>
        <w:tc>
          <w:tcPr>
            <w:tcW w:type="dxa" w:w="692"/>
            <w:shd w:val="clear" w:color="auto" w:fill="FFFFFF"/>
          </w:tcPr>
          <w:p>
            <w:pPr>
              <w:spacing w:before="20" w:after="20"/>
              <w:jc w:val="center"/>
            </w:pPr>
            <w:r>
              <w:rPr>
                <w:rFonts w:ascii="Calibri" w:hAnsi="Calibri"/>
                <w:b w:val="0"/>
                <w:i w:val="0"/>
                <w:sz w:val="16"/>
              </w:rPr>
              <w:t>0.33</w:t>
            </w:r>
          </w:p>
        </w:tc>
        <w:tc>
          <w:tcPr>
            <w:tcW w:type="dxa" w:w="692"/>
            <w:shd w:val="clear" w:color="auto" w:fill="FFFFFF"/>
          </w:tcPr>
          <w:p>
            <w:pPr>
              <w:spacing w:before="20" w:after="20"/>
              <w:jc w:val="center"/>
            </w:pPr>
            <w:r>
              <w:rPr>
                <w:rFonts w:ascii="Calibri" w:hAnsi="Calibri"/>
                <w:b w:val="0"/>
                <w:i w:val="0"/>
                <w:sz w:val="16"/>
              </w:rPr>
              <w:t>0.01</w:t>
            </w:r>
          </w:p>
        </w:tc>
        <w:tc>
          <w:tcPr>
            <w:tcW w:type="dxa" w:w="692"/>
            <w:shd w:val="clear" w:color="auto" w:fill="FFFFFF"/>
          </w:tcPr>
          <w:p>
            <w:pPr>
              <w:spacing w:before="20" w:after="20"/>
              <w:jc w:val="center"/>
            </w:pPr>
            <w:r>
              <w:rPr>
                <w:rFonts w:ascii="Calibri" w:hAnsi="Calibri"/>
                <w:b w:val="0"/>
                <w:i w:val="0"/>
                <w:sz w:val="16"/>
              </w:rPr>
              <w:t>60.08%</w:t>
            </w:r>
          </w:p>
        </w:tc>
        <w:tc>
          <w:tcPr>
            <w:tcW w:type="dxa" w:w="692"/>
            <w:shd w:val="clear" w:color="auto" w:fill="FFFFFF"/>
          </w:tcPr>
          <w:p>
            <w:pPr>
              <w:spacing w:before="20" w:after="20"/>
              <w:jc w:val="center"/>
            </w:pPr>
            <w:r>
              <w:rPr>
                <w:rFonts w:ascii="Calibri" w:hAnsi="Calibri"/>
                <w:b w:val="0"/>
                <w:i w:val="0"/>
                <w:sz w:val="16"/>
              </w:rPr>
              <w:t>9.34%</w:t>
            </w:r>
          </w:p>
        </w:tc>
        <w:tc>
          <w:tcPr>
            <w:tcW w:type="dxa" w:w="692"/>
            <w:shd w:val="clear" w:color="auto" w:fill="FFFFFF"/>
          </w:tcPr>
          <w:p>
            <w:pPr>
              <w:spacing w:before="20" w:after="20"/>
              <w:jc w:val="center"/>
            </w:pPr>
            <w:r>
              <w:rPr>
                <w:rFonts w:ascii="Calibri" w:hAnsi="Calibri"/>
                <w:b w:val="0"/>
                <w:i w:val="0"/>
                <w:sz w:val="16"/>
              </w:rPr>
              <w:t>93.81</w:t>
            </w:r>
          </w:p>
        </w:tc>
        <w:tc>
          <w:tcPr>
            <w:tcW w:type="dxa" w:w="692"/>
            <w:shd w:val="clear" w:color="auto" w:fill="FFFFFF"/>
            <w:shd w:val="clear" w:color="auto" w:fill="C0C0C0"/>
          </w:tcPr>
          <w:p>
            <w:pPr>
              <w:spacing w:before="20" w:after="20"/>
              <w:jc w:val="center"/>
            </w:pPr>
            <w:r>
              <w:rPr>
                <w:rFonts w:ascii="Calibri" w:hAnsi="Calibri"/>
                <w:b/>
                <w:i w:val="0"/>
                <w:color w:val="FFFFFF"/>
                <w:sz w:val="16"/>
              </w:rPr>
              <w:t>2</w:t>
            </w:r>
          </w:p>
        </w:tc>
      </w:tr>
      <w:tr>
        <w:tc>
          <w:tcPr>
            <w:tcW w:type="dxa" w:w="692"/>
            <w:shd w:val="clear" w:color="auto" w:fill="F2F2F2"/>
          </w:tcPr>
          <w:p>
            <w:pPr>
              <w:spacing w:before="20" w:after="20"/>
              <w:jc w:val="center"/>
            </w:pPr>
            <w:r>
              <w:rPr>
                <w:rFonts w:ascii="Calibri" w:hAnsi="Calibri"/>
                <w:b w:val="0"/>
                <w:i w:val="0"/>
                <w:sz w:val="16"/>
              </w:rPr>
              <w:t>E03</w:t>
            </w:r>
          </w:p>
        </w:tc>
        <w:tc>
          <w:tcPr>
            <w:tcW w:type="dxa" w:w="692"/>
            <w:shd w:val="clear" w:color="auto" w:fill="F2F2F2"/>
          </w:tcPr>
          <w:p>
            <w:pPr>
              <w:spacing w:before="20" w:after="20"/>
              <w:jc w:val="left"/>
            </w:pPr>
            <w:r>
              <w:rPr>
                <w:rFonts w:ascii="Calibri" w:hAnsi="Calibri"/>
                <w:b w:val="0"/>
                <w:i w:val="0"/>
                <w:sz w:val="16"/>
              </w:rPr>
              <w:t>Few-Shot TerraDS</w:t>
            </w:r>
          </w:p>
        </w:tc>
        <w:tc>
          <w:tcPr>
            <w:tcW w:type="dxa" w:w="692"/>
            <w:shd w:val="clear" w:color="auto" w:fill="F2F2F2"/>
          </w:tcPr>
          <w:p>
            <w:pPr>
              <w:spacing w:before="20" w:after="20"/>
              <w:jc w:val="center"/>
            </w:pPr>
            <w:r>
              <w:rPr>
                <w:rFonts w:ascii="Calibri" w:hAnsi="Calibri"/>
                <w:b w:val="0"/>
                <w:i w:val="0"/>
                <w:sz w:val="16"/>
              </w:rPr>
              <w:t>100%</w:t>
            </w:r>
          </w:p>
        </w:tc>
        <w:tc>
          <w:tcPr>
            <w:tcW w:type="dxa" w:w="692"/>
            <w:shd w:val="clear" w:color="auto" w:fill="F2F2F2"/>
          </w:tcPr>
          <w:p>
            <w:pPr>
              <w:spacing w:before="20" w:after="20"/>
              <w:jc w:val="center"/>
            </w:pPr>
            <w:r>
              <w:rPr>
                <w:rFonts w:ascii="Calibri" w:hAnsi="Calibri"/>
                <w:b w:val="0"/>
                <w:i w:val="0"/>
                <w:sz w:val="16"/>
              </w:rPr>
              <w:t>100%</w:t>
            </w:r>
          </w:p>
        </w:tc>
        <w:tc>
          <w:tcPr>
            <w:tcW w:type="dxa" w:w="692"/>
            <w:shd w:val="clear" w:color="auto" w:fill="F2F2F2"/>
          </w:tcPr>
          <w:p>
            <w:pPr>
              <w:spacing w:before="20" w:after="20"/>
              <w:jc w:val="center"/>
            </w:pPr>
            <w:r>
              <w:rPr>
                <w:rFonts w:ascii="Calibri" w:hAnsi="Calibri"/>
                <w:b w:val="0"/>
                <w:i w:val="0"/>
                <w:sz w:val="16"/>
              </w:rPr>
              <w:t>100%</w:t>
            </w:r>
          </w:p>
        </w:tc>
        <w:tc>
          <w:tcPr>
            <w:tcW w:type="dxa" w:w="692"/>
            <w:shd w:val="clear" w:color="auto" w:fill="F2F2F2"/>
          </w:tcPr>
          <w:p>
            <w:pPr>
              <w:spacing w:before="20" w:after="20"/>
              <w:jc w:val="center"/>
            </w:pPr>
            <w:r>
              <w:rPr>
                <w:rFonts w:ascii="Calibri" w:hAnsi="Calibri"/>
                <w:b w:val="0"/>
                <w:i w:val="0"/>
                <w:sz w:val="16"/>
              </w:rPr>
              <w:t>100%</w:t>
            </w:r>
          </w:p>
        </w:tc>
        <w:tc>
          <w:tcPr>
            <w:tcW w:type="dxa" w:w="692"/>
            <w:shd w:val="clear" w:color="auto" w:fill="F2F2F2"/>
          </w:tcPr>
          <w:p>
            <w:pPr>
              <w:spacing w:before="20" w:after="20"/>
              <w:jc w:val="center"/>
            </w:pPr>
            <w:r>
              <w:rPr>
                <w:rFonts w:ascii="Calibri" w:hAnsi="Calibri"/>
                <w:b w:val="0"/>
                <w:i w:val="0"/>
                <w:sz w:val="16"/>
              </w:rPr>
              <w:t>89.33%</w:t>
            </w:r>
          </w:p>
        </w:tc>
        <w:tc>
          <w:tcPr>
            <w:tcW w:type="dxa" w:w="692"/>
            <w:shd w:val="clear" w:color="auto" w:fill="F2F2F2"/>
          </w:tcPr>
          <w:p>
            <w:pPr>
              <w:spacing w:before="20" w:after="20"/>
              <w:jc w:val="center"/>
            </w:pPr>
            <w:r>
              <w:rPr>
                <w:rFonts w:ascii="Calibri" w:hAnsi="Calibri"/>
                <w:b w:val="0"/>
                <w:i w:val="0"/>
                <w:sz w:val="16"/>
              </w:rPr>
              <w:t>96.80%</w:t>
            </w:r>
          </w:p>
        </w:tc>
        <w:tc>
          <w:tcPr>
            <w:tcW w:type="dxa" w:w="692"/>
            <w:shd w:val="clear" w:color="auto" w:fill="F2F2F2"/>
          </w:tcPr>
          <w:p>
            <w:pPr>
              <w:spacing w:before="20" w:after="20"/>
              <w:jc w:val="center"/>
            </w:pPr>
            <w:r>
              <w:rPr>
                <w:rFonts w:ascii="Calibri" w:hAnsi="Calibri"/>
                <w:b w:val="0"/>
                <w:i w:val="0"/>
                <w:sz w:val="16"/>
              </w:rPr>
              <w:t>0.21</w:t>
            </w:r>
          </w:p>
        </w:tc>
        <w:tc>
          <w:tcPr>
            <w:tcW w:type="dxa" w:w="692"/>
            <w:shd w:val="clear" w:color="auto" w:fill="F2F2F2"/>
          </w:tcPr>
          <w:p>
            <w:pPr>
              <w:spacing w:before="20" w:after="20"/>
              <w:jc w:val="center"/>
            </w:pPr>
            <w:r>
              <w:rPr>
                <w:rFonts w:ascii="Calibri" w:hAnsi="Calibri"/>
                <w:b w:val="0"/>
                <w:i w:val="0"/>
                <w:sz w:val="16"/>
              </w:rPr>
              <w:t>0.01</w:t>
            </w:r>
          </w:p>
        </w:tc>
        <w:tc>
          <w:tcPr>
            <w:tcW w:type="dxa" w:w="692"/>
            <w:shd w:val="clear" w:color="auto" w:fill="F2F2F2"/>
          </w:tcPr>
          <w:p>
            <w:pPr>
              <w:spacing w:before="20" w:after="20"/>
              <w:jc w:val="center"/>
            </w:pPr>
            <w:r>
              <w:rPr>
                <w:rFonts w:ascii="Calibri" w:hAnsi="Calibri"/>
                <w:b w:val="0"/>
                <w:i w:val="0"/>
                <w:sz w:val="16"/>
              </w:rPr>
              <w:t>46.96%</w:t>
            </w:r>
          </w:p>
        </w:tc>
        <w:tc>
          <w:tcPr>
            <w:tcW w:type="dxa" w:w="692"/>
            <w:shd w:val="clear" w:color="auto" w:fill="F2F2F2"/>
          </w:tcPr>
          <w:p>
            <w:pPr>
              <w:spacing w:before="20" w:after="20"/>
              <w:jc w:val="center"/>
            </w:pPr>
            <w:r>
              <w:rPr>
                <w:rFonts w:ascii="Calibri" w:hAnsi="Calibri"/>
                <w:b w:val="0"/>
                <w:i w:val="0"/>
                <w:sz w:val="16"/>
              </w:rPr>
              <w:t>0.0%</w:t>
            </w:r>
          </w:p>
        </w:tc>
        <w:tc>
          <w:tcPr>
            <w:tcW w:type="dxa" w:w="692"/>
            <w:shd w:val="clear" w:color="auto" w:fill="F2F2F2"/>
          </w:tcPr>
          <w:p>
            <w:pPr>
              <w:spacing w:before="20" w:after="20"/>
              <w:jc w:val="center"/>
            </w:pPr>
            <w:r>
              <w:rPr>
                <w:rFonts w:ascii="Calibri" w:hAnsi="Calibri"/>
                <w:b w:val="0"/>
                <w:i w:val="0"/>
                <w:sz w:val="16"/>
              </w:rPr>
              <w:t>92.56</w:t>
            </w:r>
          </w:p>
        </w:tc>
        <w:tc>
          <w:tcPr>
            <w:tcW w:type="dxa" w:w="692"/>
            <w:shd w:val="clear" w:color="auto" w:fill="F2F2F2"/>
            <w:shd w:val="clear" w:color="auto" w:fill="CD7F32"/>
          </w:tcPr>
          <w:p>
            <w:pPr>
              <w:spacing w:before="20" w:after="20"/>
              <w:jc w:val="center"/>
            </w:pPr>
            <w:r>
              <w:rPr>
                <w:rFonts w:ascii="Calibri" w:hAnsi="Calibri"/>
                <w:b/>
                <w:i w:val="0"/>
                <w:color w:val="404040"/>
                <w:sz w:val="16"/>
              </w:rPr>
              <w:t>3</w:t>
            </w:r>
          </w:p>
        </w:tc>
      </w:tr>
      <w:tr>
        <w:tc>
          <w:tcPr>
            <w:tcW w:type="dxa" w:w="692"/>
            <w:shd w:val="clear" w:color="auto" w:fill="FFFFFF"/>
          </w:tcPr>
          <w:p>
            <w:pPr>
              <w:spacing w:before="20" w:after="20"/>
              <w:jc w:val="center"/>
            </w:pPr>
            <w:r>
              <w:rPr>
                <w:rFonts w:ascii="Calibri" w:hAnsi="Calibri"/>
                <w:b w:val="0"/>
                <w:i w:val="0"/>
                <w:sz w:val="16"/>
              </w:rPr>
              <w:t>E06</w:t>
            </w:r>
          </w:p>
        </w:tc>
        <w:tc>
          <w:tcPr>
            <w:tcW w:type="dxa" w:w="692"/>
            <w:shd w:val="clear" w:color="auto" w:fill="FFFFFF"/>
          </w:tcPr>
          <w:p>
            <w:pPr>
              <w:spacing w:before="20" w:after="20"/>
              <w:jc w:val="left"/>
            </w:pPr>
            <w:r>
              <w:rPr>
                <w:rFonts w:ascii="Calibri" w:hAnsi="Calibri"/>
                <w:b w:val="0"/>
                <w:i w:val="0"/>
                <w:sz w:val="16"/>
              </w:rPr>
              <w:t>Hybrid RAG</w:t>
            </w:r>
          </w:p>
        </w:tc>
        <w:tc>
          <w:tcPr>
            <w:tcW w:type="dxa" w:w="692"/>
            <w:shd w:val="clear" w:color="auto" w:fill="FFFFFF"/>
          </w:tcPr>
          <w:p>
            <w:pPr>
              <w:spacing w:before="20" w:after="20"/>
              <w:jc w:val="center"/>
            </w:pPr>
            <w:r>
              <w:rPr>
                <w:rFonts w:ascii="Calibri" w:hAnsi="Calibri"/>
                <w:b w:val="0"/>
                <w:i w:val="0"/>
                <w:sz w:val="16"/>
              </w:rPr>
              <w:t>99.67%</w:t>
            </w:r>
          </w:p>
        </w:tc>
        <w:tc>
          <w:tcPr>
            <w:tcW w:type="dxa" w:w="692"/>
            <w:shd w:val="clear" w:color="auto" w:fill="FFFFFF"/>
          </w:tcPr>
          <w:p>
            <w:pPr>
              <w:spacing w:before="20" w:after="20"/>
              <w:jc w:val="center"/>
            </w:pPr>
            <w:r>
              <w:rPr>
                <w:rFonts w:ascii="Calibri" w:hAnsi="Calibri"/>
                <w:b w:val="0"/>
                <w:i w:val="0"/>
                <w:sz w:val="16"/>
              </w:rPr>
              <w:t>100%</w:t>
            </w:r>
          </w:p>
        </w:tc>
        <w:tc>
          <w:tcPr>
            <w:tcW w:type="dxa" w:w="692"/>
            <w:shd w:val="clear" w:color="auto" w:fill="FFFFFF"/>
          </w:tcPr>
          <w:p>
            <w:pPr>
              <w:spacing w:before="20" w:after="20"/>
              <w:jc w:val="center"/>
            </w:pPr>
            <w:r>
              <w:rPr>
                <w:rFonts w:ascii="Calibri" w:hAnsi="Calibri"/>
                <w:b w:val="0"/>
                <w:i w:val="0"/>
                <w:sz w:val="16"/>
              </w:rPr>
              <w:t>98.67%</w:t>
            </w:r>
          </w:p>
        </w:tc>
        <w:tc>
          <w:tcPr>
            <w:tcW w:type="dxa" w:w="692"/>
            <w:shd w:val="clear" w:color="auto" w:fill="FFFFFF"/>
          </w:tcPr>
          <w:p>
            <w:pPr>
              <w:spacing w:before="20" w:after="20"/>
              <w:jc w:val="center"/>
            </w:pPr>
            <w:r>
              <w:rPr>
                <w:rFonts w:ascii="Calibri" w:hAnsi="Calibri"/>
                <w:b w:val="0"/>
                <w:i w:val="0"/>
                <w:sz w:val="16"/>
              </w:rPr>
              <w:t>100%</w:t>
            </w:r>
          </w:p>
        </w:tc>
        <w:tc>
          <w:tcPr>
            <w:tcW w:type="dxa" w:w="692"/>
            <w:shd w:val="clear" w:color="auto" w:fill="FFFFFF"/>
          </w:tcPr>
          <w:p>
            <w:pPr>
              <w:spacing w:before="20" w:after="20"/>
              <w:jc w:val="center"/>
            </w:pPr>
            <w:r>
              <w:rPr>
                <w:rFonts w:ascii="Calibri" w:hAnsi="Calibri"/>
                <w:b w:val="0"/>
                <w:i w:val="0"/>
                <w:sz w:val="16"/>
              </w:rPr>
              <w:t>91.17%</w:t>
            </w:r>
          </w:p>
        </w:tc>
        <w:tc>
          <w:tcPr>
            <w:tcW w:type="dxa" w:w="692"/>
            <w:shd w:val="clear" w:color="auto" w:fill="FFFFFF"/>
          </w:tcPr>
          <w:p>
            <w:pPr>
              <w:spacing w:before="20" w:after="20"/>
              <w:jc w:val="center"/>
            </w:pPr>
            <w:r>
              <w:rPr>
                <w:rFonts w:ascii="Calibri" w:hAnsi="Calibri"/>
                <w:b w:val="0"/>
                <w:i w:val="0"/>
                <w:sz w:val="16"/>
              </w:rPr>
              <w:t>97.72%</w:t>
            </w:r>
          </w:p>
        </w:tc>
        <w:tc>
          <w:tcPr>
            <w:tcW w:type="dxa" w:w="692"/>
            <w:shd w:val="clear" w:color="auto" w:fill="FFFFFF"/>
          </w:tcPr>
          <w:p>
            <w:pPr>
              <w:spacing w:before="20" w:after="20"/>
              <w:jc w:val="center"/>
            </w:pPr>
            <w:r>
              <w:rPr>
                <w:rFonts w:ascii="Calibri" w:hAnsi="Calibri"/>
                <w:b w:val="0"/>
                <w:i w:val="0"/>
                <w:sz w:val="16"/>
              </w:rPr>
              <w:t>0.16</w:t>
            </w:r>
          </w:p>
        </w:tc>
        <w:tc>
          <w:tcPr>
            <w:tcW w:type="dxa" w:w="692"/>
            <w:shd w:val="clear" w:color="auto" w:fill="FFFFFF"/>
          </w:tcPr>
          <w:p>
            <w:pPr>
              <w:spacing w:before="20" w:after="20"/>
              <w:jc w:val="center"/>
            </w:pPr>
            <w:r>
              <w:rPr>
                <w:rFonts w:ascii="Calibri" w:hAnsi="Calibri"/>
                <w:b w:val="0"/>
                <w:i w:val="0"/>
                <w:sz w:val="16"/>
              </w:rPr>
              <w:t>0.00</w:t>
            </w:r>
          </w:p>
        </w:tc>
        <w:tc>
          <w:tcPr>
            <w:tcW w:type="dxa" w:w="692"/>
            <w:shd w:val="clear" w:color="auto" w:fill="FFFFFF"/>
          </w:tcPr>
          <w:p>
            <w:pPr>
              <w:spacing w:before="20" w:after="20"/>
              <w:jc w:val="center"/>
            </w:pPr>
            <w:r>
              <w:rPr>
                <w:rFonts w:ascii="Calibri" w:hAnsi="Calibri"/>
                <w:b w:val="0"/>
                <w:i w:val="0"/>
                <w:sz w:val="16"/>
              </w:rPr>
              <w:t>45.12%</w:t>
            </w:r>
          </w:p>
        </w:tc>
        <w:tc>
          <w:tcPr>
            <w:tcW w:type="dxa" w:w="692"/>
            <w:shd w:val="clear" w:color="auto" w:fill="FFFFFF"/>
          </w:tcPr>
          <w:p>
            <w:pPr>
              <w:spacing w:before="20" w:after="20"/>
              <w:jc w:val="center"/>
            </w:pPr>
            <w:r>
              <w:rPr>
                <w:rFonts w:ascii="Calibri" w:hAnsi="Calibri"/>
                <w:b w:val="0"/>
                <w:i w:val="0"/>
                <w:sz w:val="16"/>
              </w:rPr>
              <w:t>11.93%</w:t>
            </w:r>
          </w:p>
        </w:tc>
        <w:tc>
          <w:tcPr>
            <w:tcW w:type="dxa" w:w="692"/>
            <w:shd w:val="clear" w:color="auto" w:fill="FFFFFF"/>
          </w:tcPr>
          <w:p>
            <w:pPr>
              <w:spacing w:before="20" w:after="20"/>
              <w:jc w:val="center"/>
            </w:pPr>
            <w:r>
              <w:rPr>
                <w:rFonts w:ascii="Calibri" w:hAnsi="Calibri"/>
                <w:b w:val="0"/>
                <w:i w:val="0"/>
                <w:sz w:val="16"/>
              </w:rPr>
              <w:t>92.55</w:t>
            </w:r>
          </w:p>
        </w:tc>
        <w:tc>
          <w:tcPr>
            <w:tcW w:type="dxa" w:w="692"/>
            <w:shd w:val="clear" w:color="auto" w:fill="FFFFFF"/>
            <w:shd w:val="clear" w:color="auto" w:fill="FFFFFF"/>
          </w:tcPr>
          <w:p>
            <w:pPr>
              <w:spacing w:before="20" w:after="20"/>
              <w:jc w:val="center"/>
            </w:pPr>
            <w:r>
              <w:rPr>
                <w:rFonts w:ascii="Calibri" w:hAnsi="Calibri"/>
                <w:b/>
                <w:i w:val="0"/>
                <w:color w:val="404040"/>
                <w:sz w:val="16"/>
              </w:rPr>
              <w:t>4</w:t>
            </w:r>
          </w:p>
        </w:tc>
      </w:tr>
      <w:tr>
        <w:tc>
          <w:tcPr>
            <w:tcW w:type="dxa" w:w="692"/>
            <w:shd w:val="clear" w:color="auto" w:fill="F2F2F2"/>
          </w:tcPr>
          <w:p>
            <w:pPr>
              <w:spacing w:before="20" w:after="20"/>
              <w:jc w:val="center"/>
            </w:pPr>
            <w:r>
              <w:rPr>
                <w:rFonts w:ascii="Calibri" w:hAnsi="Calibri"/>
                <w:b w:val="0"/>
                <w:i w:val="0"/>
                <w:sz w:val="16"/>
              </w:rPr>
              <w:t>E04</w:t>
            </w:r>
          </w:p>
        </w:tc>
        <w:tc>
          <w:tcPr>
            <w:tcW w:type="dxa" w:w="692"/>
            <w:shd w:val="clear" w:color="auto" w:fill="F2F2F2"/>
          </w:tcPr>
          <w:p>
            <w:pPr>
              <w:spacing w:before="20" w:after="20"/>
              <w:jc w:val="left"/>
            </w:pPr>
            <w:r>
              <w:rPr>
                <w:rFonts w:ascii="Calibri" w:hAnsi="Calibri"/>
                <w:b w:val="0"/>
                <w:i w:val="0"/>
                <w:sz w:val="16"/>
              </w:rPr>
              <w:t>Dense RAG</w:t>
            </w:r>
          </w:p>
        </w:tc>
        <w:tc>
          <w:tcPr>
            <w:tcW w:type="dxa" w:w="692"/>
            <w:shd w:val="clear" w:color="auto" w:fill="F2F2F2"/>
          </w:tcPr>
          <w:p>
            <w:pPr>
              <w:spacing w:before="20" w:after="20"/>
              <w:jc w:val="center"/>
            </w:pPr>
            <w:r>
              <w:rPr>
                <w:rFonts w:ascii="Calibri" w:hAnsi="Calibri"/>
                <w:b w:val="0"/>
                <w:i w:val="0"/>
                <w:sz w:val="16"/>
              </w:rPr>
              <w:t>100%</w:t>
            </w:r>
          </w:p>
        </w:tc>
        <w:tc>
          <w:tcPr>
            <w:tcW w:type="dxa" w:w="692"/>
            <w:shd w:val="clear" w:color="auto" w:fill="F2F2F2"/>
          </w:tcPr>
          <w:p>
            <w:pPr>
              <w:spacing w:before="20" w:after="20"/>
              <w:jc w:val="center"/>
            </w:pPr>
            <w:r>
              <w:rPr>
                <w:rFonts w:ascii="Calibri" w:hAnsi="Calibri"/>
                <w:b w:val="0"/>
                <w:i w:val="0"/>
                <w:sz w:val="16"/>
              </w:rPr>
              <w:t>100%</w:t>
            </w:r>
          </w:p>
        </w:tc>
        <w:tc>
          <w:tcPr>
            <w:tcW w:type="dxa" w:w="692"/>
            <w:shd w:val="clear" w:color="auto" w:fill="F2F2F2"/>
          </w:tcPr>
          <w:p>
            <w:pPr>
              <w:spacing w:before="20" w:after="20"/>
              <w:jc w:val="center"/>
            </w:pPr>
            <w:r>
              <w:rPr>
                <w:rFonts w:ascii="Calibri" w:hAnsi="Calibri"/>
                <w:b w:val="0"/>
                <w:i w:val="0"/>
                <w:sz w:val="16"/>
              </w:rPr>
              <w:t>99.33%</w:t>
            </w:r>
          </w:p>
        </w:tc>
        <w:tc>
          <w:tcPr>
            <w:tcW w:type="dxa" w:w="692"/>
            <w:shd w:val="clear" w:color="auto" w:fill="F2F2F2"/>
          </w:tcPr>
          <w:p>
            <w:pPr>
              <w:spacing w:before="20" w:after="20"/>
              <w:jc w:val="center"/>
            </w:pPr>
            <w:r>
              <w:rPr>
                <w:rFonts w:ascii="Calibri" w:hAnsi="Calibri"/>
                <w:b w:val="0"/>
                <w:i w:val="0"/>
                <w:sz w:val="16"/>
              </w:rPr>
              <w:t>100%</w:t>
            </w:r>
          </w:p>
        </w:tc>
        <w:tc>
          <w:tcPr>
            <w:tcW w:type="dxa" w:w="692"/>
            <w:shd w:val="clear" w:color="auto" w:fill="F2F2F2"/>
          </w:tcPr>
          <w:p>
            <w:pPr>
              <w:spacing w:before="20" w:after="20"/>
              <w:jc w:val="center"/>
            </w:pPr>
            <w:r>
              <w:rPr>
                <w:rFonts w:ascii="Calibri" w:hAnsi="Calibri"/>
                <w:b w:val="0"/>
                <w:i w:val="0"/>
                <w:sz w:val="16"/>
              </w:rPr>
              <w:t>91.0%</w:t>
            </w:r>
          </w:p>
        </w:tc>
        <w:tc>
          <w:tcPr>
            <w:tcW w:type="dxa" w:w="692"/>
            <w:shd w:val="clear" w:color="auto" w:fill="F2F2F2"/>
          </w:tcPr>
          <w:p>
            <w:pPr>
              <w:spacing w:before="20" w:after="20"/>
              <w:jc w:val="center"/>
            </w:pPr>
            <w:r>
              <w:rPr>
                <w:rFonts w:ascii="Calibri" w:hAnsi="Calibri"/>
                <w:b w:val="0"/>
                <w:i w:val="0"/>
                <w:sz w:val="16"/>
              </w:rPr>
              <w:t>96.38%</w:t>
            </w:r>
          </w:p>
        </w:tc>
        <w:tc>
          <w:tcPr>
            <w:tcW w:type="dxa" w:w="692"/>
            <w:shd w:val="clear" w:color="auto" w:fill="F2F2F2"/>
          </w:tcPr>
          <w:p>
            <w:pPr>
              <w:spacing w:before="20" w:after="20"/>
              <w:jc w:val="center"/>
            </w:pPr>
            <w:r>
              <w:rPr>
                <w:rFonts w:ascii="Calibri" w:hAnsi="Calibri"/>
                <w:b w:val="0"/>
                <w:i w:val="0"/>
                <w:sz w:val="16"/>
              </w:rPr>
              <w:t>0.15</w:t>
            </w:r>
          </w:p>
        </w:tc>
        <w:tc>
          <w:tcPr>
            <w:tcW w:type="dxa" w:w="692"/>
            <w:shd w:val="clear" w:color="auto" w:fill="F2F2F2"/>
          </w:tcPr>
          <w:p>
            <w:pPr>
              <w:spacing w:before="20" w:after="20"/>
              <w:jc w:val="center"/>
            </w:pPr>
            <w:r>
              <w:rPr>
                <w:rFonts w:ascii="Calibri" w:hAnsi="Calibri"/>
                <w:b w:val="0"/>
                <w:i w:val="0"/>
                <w:sz w:val="16"/>
              </w:rPr>
              <w:t>0.01</w:t>
            </w:r>
          </w:p>
        </w:tc>
        <w:tc>
          <w:tcPr>
            <w:tcW w:type="dxa" w:w="692"/>
            <w:shd w:val="clear" w:color="auto" w:fill="F2F2F2"/>
          </w:tcPr>
          <w:p>
            <w:pPr>
              <w:spacing w:before="20" w:after="20"/>
              <w:jc w:val="center"/>
            </w:pPr>
            <w:r>
              <w:rPr>
                <w:rFonts w:ascii="Calibri" w:hAnsi="Calibri"/>
                <w:b w:val="0"/>
                <w:i w:val="0"/>
                <w:sz w:val="16"/>
              </w:rPr>
              <w:t>44.96%</w:t>
            </w:r>
          </w:p>
        </w:tc>
        <w:tc>
          <w:tcPr>
            <w:tcW w:type="dxa" w:w="692"/>
            <w:shd w:val="clear" w:color="auto" w:fill="F2F2F2"/>
          </w:tcPr>
          <w:p>
            <w:pPr>
              <w:spacing w:before="20" w:after="20"/>
              <w:jc w:val="center"/>
            </w:pPr>
            <w:r>
              <w:rPr>
                <w:rFonts w:ascii="Calibri" w:hAnsi="Calibri"/>
                <w:b w:val="0"/>
                <w:i w:val="0"/>
                <w:sz w:val="16"/>
              </w:rPr>
              <w:t>12.04%</w:t>
            </w:r>
          </w:p>
        </w:tc>
        <w:tc>
          <w:tcPr>
            <w:tcW w:type="dxa" w:w="692"/>
            <w:shd w:val="clear" w:color="auto" w:fill="F2F2F2"/>
          </w:tcPr>
          <w:p>
            <w:pPr>
              <w:spacing w:before="20" w:after="20"/>
              <w:jc w:val="center"/>
            </w:pPr>
            <w:r>
              <w:rPr>
                <w:rFonts w:ascii="Calibri" w:hAnsi="Calibri"/>
                <w:b w:val="0"/>
                <w:i w:val="0"/>
                <w:sz w:val="16"/>
              </w:rPr>
              <w:t>92.53</w:t>
            </w:r>
          </w:p>
        </w:tc>
        <w:tc>
          <w:tcPr>
            <w:tcW w:type="dxa" w:w="692"/>
            <w:shd w:val="clear" w:color="auto" w:fill="F2F2F2"/>
            <w:shd w:val="clear" w:color="auto" w:fill="F2F2F2"/>
          </w:tcPr>
          <w:p>
            <w:pPr>
              <w:spacing w:before="20" w:after="20"/>
              <w:jc w:val="center"/>
            </w:pPr>
            <w:r>
              <w:rPr>
                <w:rFonts w:ascii="Calibri" w:hAnsi="Calibri"/>
                <w:b/>
                <w:i w:val="0"/>
                <w:color w:val="404040"/>
                <w:sz w:val="16"/>
              </w:rPr>
              <w:t>5</w:t>
            </w:r>
          </w:p>
        </w:tc>
      </w:tr>
      <w:tr>
        <w:tc>
          <w:tcPr>
            <w:tcW w:type="dxa" w:w="692"/>
            <w:shd w:val="clear" w:color="auto" w:fill="FFFFFF"/>
          </w:tcPr>
          <w:p>
            <w:pPr>
              <w:spacing w:before="20" w:after="20"/>
              <w:jc w:val="center"/>
            </w:pPr>
            <w:r>
              <w:rPr>
                <w:rFonts w:ascii="Calibri" w:hAnsi="Calibri"/>
                <w:b w:val="0"/>
                <w:i w:val="0"/>
                <w:sz w:val="16"/>
              </w:rPr>
              <w:t>E07</w:t>
            </w:r>
          </w:p>
        </w:tc>
        <w:tc>
          <w:tcPr>
            <w:tcW w:type="dxa" w:w="692"/>
            <w:shd w:val="clear" w:color="auto" w:fill="FFFFFF"/>
          </w:tcPr>
          <w:p>
            <w:pPr>
              <w:spacing w:before="20" w:after="20"/>
              <w:jc w:val="left"/>
            </w:pPr>
            <w:r>
              <w:rPr>
                <w:rFonts w:ascii="Calibri" w:hAnsi="Calibri"/>
                <w:b w:val="0"/>
                <w:i w:val="0"/>
                <w:sz w:val="16"/>
              </w:rPr>
              <w:t>Dependency-Aware RAG</w:t>
            </w:r>
          </w:p>
        </w:tc>
        <w:tc>
          <w:tcPr>
            <w:tcW w:type="dxa" w:w="692"/>
            <w:shd w:val="clear" w:color="auto" w:fill="FFFFFF"/>
          </w:tcPr>
          <w:p>
            <w:pPr>
              <w:spacing w:before="20" w:after="20"/>
              <w:jc w:val="center"/>
            </w:pPr>
            <w:r>
              <w:rPr>
                <w:rFonts w:ascii="Calibri" w:hAnsi="Calibri"/>
                <w:b w:val="0"/>
                <w:i w:val="0"/>
                <w:sz w:val="16"/>
              </w:rPr>
              <w:t>99.67%</w:t>
            </w:r>
          </w:p>
        </w:tc>
        <w:tc>
          <w:tcPr>
            <w:tcW w:type="dxa" w:w="692"/>
            <w:shd w:val="clear" w:color="auto" w:fill="FFFFFF"/>
          </w:tcPr>
          <w:p>
            <w:pPr>
              <w:spacing w:before="20" w:after="20"/>
              <w:jc w:val="center"/>
            </w:pPr>
            <w:r>
              <w:rPr>
                <w:rFonts w:ascii="Calibri" w:hAnsi="Calibri"/>
                <w:b w:val="0"/>
                <w:i w:val="0"/>
                <w:sz w:val="16"/>
              </w:rPr>
              <w:t>100%</w:t>
            </w:r>
          </w:p>
        </w:tc>
        <w:tc>
          <w:tcPr>
            <w:tcW w:type="dxa" w:w="692"/>
            <w:shd w:val="clear" w:color="auto" w:fill="FFFFFF"/>
          </w:tcPr>
          <w:p>
            <w:pPr>
              <w:spacing w:before="20" w:after="20"/>
              <w:jc w:val="center"/>
            </w:pPr>
            <w:r>
              <w:rPr>
                <w:rFonts w:ascii="Calibri" w:hAnsi="Calibri"/>
                <w:b w:val="0"/>
                <w:i w:val="0"/>
                <w:sz w:val="16"/>
              </w:rPr>
              <w:t>99.67%</w:t>
            </w:r>
          </w:p>
        </w:tc>
        <w:tc>
          <w:tcPr>
            <w:tcW w:type="dxa" w:w="692"/>
            <w:shd w:val="clear" w:color="auto" w:fill="FFFFFF"/>
          </w:tcPr>
          <w:p>
            <w:pPr>
              <w:spacing w:before="20" w:after="20"/>
              <w:jc w:val="center"/>
            </w:pPr>
            <w:r>
              <w:rPr>
                <w:rFonts w:ascii="Calibri" w:hAnsi="Calibri"/>
                <w:b w:val="0"/>
                <w:i w:val="0"/>
                <w:sz w:val="16"/>
              </w:rPr>
              <w:t>100%</w:t>
            </w:r>
          </w:p>
        </w:tc>
        <w:tc>
          <w:tcPr>
            <w:tcW w:type="dxa" w:w="692"/>
            <w:shd w:val="clear" w:color="auto" w:fill="FFFFFF"/>
          </w:tcPr>
          <w:p>
            <w:pPr>
              <w:spacing w:before="20" w:after="20"/>
              <w:jc w:val="center"/>
            </w:pPr>
            <w:r>
              <w:rPr>
                <w:rFonts w:ascii="Calibri" w:hAnsi="Calibri"/>
                <w:b w:val="0"/>
                <w:i w:val="0"/>
                <w:sz w:val="16"/>
              </w:rPr>
              <w:t>91.33%</w:t>
            </w:r>
          </w:p>
        </w:tc>
        <w:tc>
          <w:tcPr>
            <w:tcW w:type="dxa" w:w="692"/>
            <w:shd w:val="clear" w:color="auto" w:fill="FFFFFF"/>
          </w:tcPr>
          <w:p>
            <w:pPr>
              <w:spacing w:before="20" w:after="20"/>
              <w:jc w:val="center"/>
            </w:pPr>
            <w:r>
              <w:rPr>
                <w:rFonts w:ascii="Calibri" w:hAnsi="Calibri"/>
                <w:b w:val="0"/>
                <w:i w:val="0"/>
                <w:sz w:val="16"/>
              </w:rPr>
              <w:t>98.22%</w:t>
            </w:r>
          </w:p>
        </w:tc>
        <w:tc>
          <w:tcPr>
            <w:tcW w:type="dxa" w:w="692"/>
            <w:shd w:val="clear" w:color="auto" w:fill="FFFFFF"/>
          </w:tcPr>
          <w:p>
            <w:pPr>
              <w:spacing w:before="20" w:after="20"/>
              <w:jc w:val="center"/>
            </w:pPr>
            <w:r>
              <w:rPr>
                <w:rFonts w:ascii="Calibri" w:hAnsi="Calibri"/>
                <w:b w:val="0"/>
                <w:i w:val="0"/>
                <w:sz w:val="16"/>
              </w:rPr>
              <w:t>0.24</w:t>
            </w:r>
          </w:p>
        </w:tc>
        <w:tc>
          <w:tcPr>
            <w:tcW w:type="dxa" w:w="692"/>
            <w:shd w:val="clear" w:color="auto" w:fill="FFFFFF"/>
          </w:tcPr>
          <w:p>
            <w:pPr>
              <w:spacing w:before="20" w:after="20"/>
              <w:jc w:val="center"/>
            </w:pPr>
            <w:r>
              <w:rPr>
                <w:rFonts w:ascii="Calibri" w:hAnsi="Calibri"/>
                <w:b w:val="0"/>
                <w:i w:val="0"/>
                <w:sz w:val="16"/>
              </w:rPr>
              <w:t>0.02</w:t>
            </w:r>
          </w:p>
        </w:tc>
        <w:tc>
          <w:tcPr>
            <w:tcW w:type="dxa" w:w="692"/>
            <w:shd w:val="clear" w:color="auto" w:fill="FFFFFF"/>
          </w:tcPr>
          <w:p>
            <w:pPr>
              <w:spacing w:before="20" w:after="20"/>
              <w:jc w:val="center"/>
            </w:pPr>
            <w:r>
              <w:rPr>
                <w:rFonts w:ascii="Calibri" w:hAnsi="Calibri"/>
                <w:b w:val="0"/>
                <w:i w:val="0"/>
                <w:sz w:val="16"/>
              </w:rPr>
              <w:t>43.17%</w:t>
            </w:r>
          </w:p>
        </w:tc>
        <w:tc>
          <w:tcPr>
            <w:tcW w:type="dxa" w:w="692"/>
            <w:shd w:val="clear" w:color="auto" w:fill="FFFFFF"/>
          </w:tcPr>
          <w:p>
            <w:pPr>
              <w:spacing w:before="20" w:after="20"/>
              <w:jc w:val="center"/>
            </w:pPr>
            <w:r>
              <w:rPr>
                <w:rFonts w:ascii="Calibri" w:hAnsi="Calibri"/>
                <w:b w:val="0"/>
                <w:i w:val="0"/>
                <w:sz w:val="16"/>
              </w:rPr>
              <w:t>11.82%</w:t>
            </w:r>
          </w:p>
        </w:tc>
        <w:tc>
          <w:tcPr>
            <w:tcW w:type="dxa" w:w="692"/>
            <w:shd w:val="clear" w:color="auto" w:fill="FFFFFF"/>
          </w:tcPr>
          <w:p>
            <w:pPr>
              <w:spacing w:before="20" w:after="20"/>
              <w:jc w:val="center"/>
            </w:pPr>
            <w:r>
              <w:rPr>
                <w:rFonts w:ascii="Calibri" w:hAnsi="Calibri"/>
                <w:b w:val="0"/>
                <w:i w:val="0"/>
                <w:sz w:val="16"/>
              </w:rPr>
              <w:t>92.48</w:t>
            </w:r>
          </w:p>
        </w:tc>
        <w:tc>
          <w:tcPr>
            <w:tcW w:type="dxa" w:w="692"/>
            <w:shd w:val="clear" w:color="auto" w:fill="FFFFFF"/>
            <w:shd w:val="clear" w:color="auto" w:fill="FFFFFF"/>
          </w:tcPr>
          <w:p>
            <w:pPr>
              <w:spacing w:before="20" w:after="20"/>
              <w:jc w:val="center"/>
            </w:pPr>
            <w:r>
              <w:rPr>
                <w:rFonts w:ascii="Calibri" w:hAnsi="Calibri"/>
                <w:b/>
                <w:i w:val="0"/>
                <w:color w:val="404040"/>
                <w:sz w:val="16"/>
              </w:rPr>
              <w:t>6</w:t>
            </w:r>
          </w:p>
        </w:tc>
      </w:tr>
      <w:tr>
        <w:tc>
          <w:tcPr>
            <w:tcW w:type="dxa" w:w="692"/>
            <w:shd w:val="clear" w:color="auto" w:fill="F2F2F2"/>
          </w:tcPr>
          <w:p>
            <w:pPr>
              <w:spacing w:before="20" w:after="20"/>
              <w:jc w:val="center"/>
            </w:pPr>
            <w:r>
              <w:rPr>
                <w:rFonts w:ascii="Calibri" w:hAnsi="Calibri"/>
                <w:b w:val="0"/>
                <w:i w:val="0"/>
                <w:sz w:val="16"/>
              </w:rPr>
              <w:t>E05</w:t>
            </w:r>
          </w:p>
        </w:tc>
        <w:tc>
          <w:tcPr>
            <w:tcW w:type="dxa" w:w="692"/>
            <w:shd w:val="clear" w:color="auto" w:fill="F2F2F2"/>
          </w:tcPr>
          <w:p>
            <w:pPr>
              <w:spacing w:before="20" w:after="20"/>
              <w:jc w:val="left"/>
            </w:pPr>
            <w:r>
              <w:rPr>
                <w:rFonts w:ascii="Calibri" w:hAnsi="Calibri"/>
                <w:b w:val="0"/>
                <w:i w:val="0"/>
                <w:sz w:val="16"/>
              </w:rPr>
              <w:t>Sparse BM25 RAG</w:t>
            </w:r>
          </w:p>
        </w:tc>
        <w:tc>
          <w:tcPr>
            <w:tcW w:type="dxa" w:w="692"/>
            <w:shd w:val="clear" w:color="auto" w:fill="F2F2F2"/>
          </w:tcPr>
          <w:p>
            <w:pPr>
              <w:spacing w:before="20" w:after="20"/>
              <w:jc w:val="center"/>
            </w:pPr>
            <w:r>
              <w:rPr>
                <w:rFonts w:ascii="Calibri" w:hAnsi="Calibri"/>
                <w:b w:val="0"/>
                <w:i w:val="0"/>
                <w:sz w:val="16"/>
              </w:rPr>
              <w:t>99.33%</w:t>
            </w:r>
          </w:p>
        </w:tc>
        <w:tc>
          <w:tcPr>
            <w:tcW w:type="dxa" w:w="692"/>
            <w:shd w:val="clear" w:color="auto" w:fill="F2F2F2"/>
          </w:tcPr>
          <w:p>
            <w:pPr>
              <w:spacing w:before="20" w:after="20"/>
              <w:jc w:val="center"/>
            </w:pPr>
            <w:r>
              <w:rPr>
                <w:rFonts w:ascii="Calibri" w:hAnsi="Calibri"/>
                <w:b w:val="0"/>
                <w:i w:val="0"/>
                <w:sz w:val="16"/>
              </w:rPr>
              <w:t>99.0%</w:t>
            </w:r>
          </w:p>
        </w:tc>
        <w:tc>
          <w:tcPr>
            <w:tcW w:type="dxa" w:w="692"/>
            <w:shd w:val="clear" w:color="auto" w:fill="F2F2F2"/>
          </w:tcPr>
          <w:p>
            <w:pPr>
              <w:spacing w:before="20" w:after="20"/>
              <w:jc w:val="center"/>
            </w:pPr>
            <w:r>
              <w:rPr>
                <w:rFonts w:ascii="Calibri" w:hAnsi="Calibri"/>
                <w:b w:val="0"/>
                <w:i w:val="0"/>
                <w:sz w:val="16"/>
              </w:rPr>
              <w:t>99.0%</w:t>
            </w:r>
          </w:p>
        </w:tc>
        <w:tc>
          <w:tcPr>
            <w:tcW w:type="dxa" w:w="692"/>
            <w:shd w:val="clear" w:color="auto" w:fill="F2F2F2"/>
          </w:tcPr>
          <w:p>
            <w:pPr>
              <w:spacing w:before="20" w:after="20"/>
              <w:jc w:val="center"/>
            </w:pPr>
            <w:r>
              <w:rPr>
                <w:rFonts w:ascii="Calibri" w:hAnsi="Calibri"/>
                <w:b w:val="0"/>
                <w:i w:val="0"/>
                <w:sz w:val="16"/>
              </w:rPr>
              <w:t>99.83%</w:t>
            </w:r>
          </w:p>
        </w:tc>
        <w:tc>
          <w:tcPr>
            <w:tcW w:type="dxa" w:w="692"/>
            <w:shd w:val="clear" w:color="auto" w:fill="F2F2F2"/>
          </w:tcPr>
          <w:p>
            <w:pPr>
              <w:spacing w:before="20" w:after="20"/>
              <w:jc w:val="center"/>
            </w:pPr>
            <w:r>
              <w:rPr>
                <w:rFonts w:ascii="Calibri" w:hAnsi="Calibri"/>
                <w:b w:val="0"/>
                <w:i w:val="0"/>
                <w:sz w:val="16"/>
              </w:rPr>
              <w:t>89.0%</w:t>
            </w:r>
          </w:p>
        </w:tc>
        <w:tc>
          <w:tcPr>
            <w:tcW w:type="dxa" w:w="692"/>
            <w:shd w:val="clear" w:color="auto" w:fill="F2F2F2"/>
          </w:tcPr>
          <w:p>
            <w:pPr>
              <w:spacing w:before="20" w:after="20"/>
              <w:jc w:val="center"/>
            </w:pPr>
            <w:r>
              <w:rPr>
                <w:rFonts w:ascii="Calibri" w:hAnsi="Calibri"/>
                <w:b w:val="0"/>
                <w:i w:val="0"/>
                <w:sz w:val="16"/>
              </w:rPr>
              <w:t>96.71%</w:t>
            </w:r>
          </w:p>
        </w:tc>
        <w:tc>
          <w:tcPr>
            <w:tcW w:type="dxa" w:w="692"/>
            <w:shd w:val="clear" w:color="auto" w:fill="F2F2F2"/>
          </w:tcPr>
          <w:p>
            <w:pPr>
              <w:spacing w:before="20" w:after="20"/>
              <w:jc w:val="center"/>
            </w:pPr>
            <w:r>
              <w:rPr>
                <w:rFonts w:ascii="Calibri" w:hAnsi="Calibri"/>
                <w:b w:val="0"/>
                <w:i w:val="0"/>
                <w:sz w:val="16"/>
              </w:rPr>
              <w:t>0.15</w:t>
            </w:r>
          </w:p>
        </w:tc>
        <w:tc>
          <w:tcPr>
            <w:tcW w:type="dxa" w:w="692"/>
            <w:shd w:val="clear" w:color="auto" w:fill="F2F2F2"/>
          </w:tcPr>
          <w:p>
            <w:pPr>
              <w:spacing w:before="20" w:after="20"/>
              <w:jc w:val="center"/>
            </w:pPr>
            <w:r>
              <w:rPr>
                <w:rFonts w:ascii="Calibri" w:hAnsi="Calibri"/>
                <w:b w:val="0"/>
                <w:i w:val="0"/>
                <w:sz w:val="16"/>
              </w:rPr>
              <w:t>0.01</w:t>
            </w:r>
          </w:p>
        </w:tc>
        <w:tc>
          <w:tcPr>
            <w:tcW w:type="dxa" w:w="692"/>
            <w:shd w:val="clear" w:color="auto" w:fill="F2F2F2"/>
          </w:tcPr>
          <w:p>
            <w:pPr>
              <w:spacing w:before="20" w:after="20"/>
              <w:jc w:val="center"/>
            </w:pPr>
            <w:r>
              <w:rPr>
                <w:rFonts w:ascii="Calibri" w:hAnsi="Calibri"/>
                <w:b w:val="0"/>
                <w:i w:val="0"/>
                <w:sz w:val="16"/>
              </w:rPr>
              <w:t>46.21%</w:t>
            </w:r>
          </w:p>
        </w:tc>
        <w:tc>
          <w:tcPr>
            <w:tcW w:type="dxa" w:w="692"/>
            <w:shd w:val="clear" w:color="auto" w:fill="F2F2F2"/>
          </w:tcPr>
          <w:p>
            <w:pPr>
              <w:spacing w:before="20" w:after="20"/>
              <w:jc w:val="center"/>
            </w:pPr>
            <w:r>
              <w:rPr>
                <w:rFonts w:ascii="Calibri" w:hAnsi="Calibri"/>
                <w:b w:val="0"/>
                <w:i w:val="0"/>
                <w:sz w:val="16"/>
              </w:rPr>
              <w:t>11.79%</w:t>
            </w:r>
          </w:p>
        </w:tc>
        <w:tc>
          <w:tcPr>
            <w:tcW w:type="dxa" w:w="692"/>
            <w:shd w:val="clear" w:color="auto" w:fill="F2F2F2"/>
          </w:tcPr>
          <w:p>
            <w:pPr>
              <w:spacing w:before="20" w:after="20"/>
              <w:jc w:val="center"/>
            </w:pPr>
            <w:r>
              <w:rPr>
                <w:rFonts w:ascii="Calibri" w:hAnsi="Calibri"/>
                <w:b w:val="0"/>
                <w:i w:val="0"/>
                <w:sz w:val="16"/>
              </w:rPr>
              <w:t>92.10</w:t>
            </w:r>
          </w:p>
        </w:tc>
        <w:tc>
          <w:tcPr>
            <w:tcW w:type="dxa" w:w="692"/>
            <w:shd w:val="clear" w:color="auto" w:fill="F2F2F2"/>
            <w:shd w:val="clear" w:color="auto" w:fill="F2F2F2"/>
          </w:tcPr>
          <w:p>
            <w:pPr>
              <w:spacing w:before="20" w:after="20"/>
              <w:jc w:val="center"/>
            </w:pPr>
            <w:r>
              <w:rPr>
                <w:rFonts w:ascii="Calibri" w:hAnsi="Calibri"/>
                <w:b/>
                <w:i w:val="0"/>
                <w:color w:val="404040"/>
                <w:sz w:val="16"/>
              </w:rPr>
              <w:t>7</w:t>
            </w:r>
          </w:p>
        </w:tc>
      </w:tr>
      <w:tr>
        <w:tc>
          <w:tcPr>
            <w:tcW w:type="dxa" w:w="692"/>
            <w:shd w:val="clear" w:color="auto" w:fill="FFFFFF"/>
          </w:tcPr>
          <w:p>
            <w:pPr>
              <w:spacing w:before="20" w:after="20"/>
              <w:jc w:val="center"/>
            </w:pPr>
            <w:r>
              <w:rPr>
                <w:rFonts w:ascii="Calibri" w:hAnsi="Calibri"/>
                <w:b w:val="0"/>
                <w:i w:val="0"/>
                <w:sz w:val="16"/>
              </w:rPr>
              <w:t>E02</w:t>
            </w:r>
          </w:p>
        </w:tc>
        <w:tc>
          <w:tcPr>
            <w:tcW w:type="dxa" w:w="692"/>
            <w:shd w:val="clear" w:color="auto" w:fill="FFFFFF"/>
          </w:tcPr>
          <w:p>
            <w:pPr>
              <w:spacing w:before="20" w:after="20"/>
              <w:jc w:val="left"/>
            </w:pPr>
            <w:r>
              <w:rPr>
                <w:rFonts w:ascii="Calibri" w:hAnsi="Calibri"/>
                <w:b w:val="0"/>
                <w:i w:val="0"/>
                <w:sz w:val="16"/>
              </w:rPr>
              <w:t>Provider-Specific</w:t>
            </w:r>
          </w:p>
        </w:tc>
        <w:tc>
          <w:tcPr>
            <w:tcW w:type="dxa" w:w="692"/>
            <w:shd w:val="clear" w:color="auto" w:fill="FFFFFF"/>
          </w:tcPr>
          <w:p>
            <w:pPr>
              <w:spacing w:before="20" w:after="20"/>
              <w:jc w:val="center"/>
            </w:pPr>
            <w:r>
              <w:rPr>
                <w:rFonts w:ascii="Calibri" w:hAnsi="Calibri"/>
                <w:b w:val="0"/>
                <w:i w:val="0"/>
                <w:sz w:val="16"/>
              </w:rPr>
              <w:t>100%</w:t>
            </w:r>
          </w:p>
        </w:tc>
        <w:tc>
          <w:tcPr>
            <w:tcW w:type="dxa" w:w="692"/>
            <w:shd w:val="clear" w:color="auto" w:fill="FFFFFF"/>
          </w:tcPr>
          <w:p>
            <w:pPr>
              <w:spacing w:before="20" w:after="20"/>
              <w:jc w:val="center"/>
            </w:pPr>
            <w:r>
              <w:rPr>
                <w:rFonts w:ascii="Calibri" w:hAnsi="Calibri"/>
                <w:b w:val="0"/>
                <w:i w:val="0"/>
                <w:sz w:val="16"/>
              </w:rPr>
              <w:t>100%</w:t>
            </w:r>
          </w:p>
        </w:tc>
        <w:tc>
          <w:tcPr>
            <w:tcW w:type="dxa" w:w="692"/>
            <w:shd w:val="clear" w:color="auto" w:fill="FFFFFF"/>
          </w:tcPr>
          <w:p>
            <w:pPr>
              <w:spacing w:before="20" w:after="20"/>
              <w:jc w:val="center"/>
            </w:pPr>
            <w:r>
              <w:rPr>
                <w:rFonts w:ascii="Calibri" w:hAnsi="Calibri"/>
                <w:b w:val="0"/>
                <w:i w:val="0"/>
                <w:sz w:val="16"/>
              </w:rPr>
              <w:t>100%</w:t>
            </w:r>
          </w:p>
        </w:tc>
        <w:tc>
          <w:tcPr>
            <w:tcW w:type="dxa" w:w="692"/>
            <w:shd w:val="clear" w:color="auto" w:fill="FFFFFF"/>
          </w:tcPr>
          <w:p>
            <w:pPr>
              <w:spacing w:before="20" w:after="20"/>
              <w:jc w:val="center"/>
            </w:pPr>
            <w:r>
              <w:rPr>
                <w:rFonts w:ascii="Calibri" w:hAnsi="Calibri"/>
                <w:b w:val="0"/>
                <w:i w:val="0"/>
                <w:sz w:val="16"/>
              </w:rPr>
              <w:t>100%</w:t>
            </w:r>
          </w:p>
        </w:tc>
        <w:tc>
          <w:tcPr>
            <w:tcW w:type="dxa" w:w="692"/>
            <w:shd w:val="clear" w:color="auto" w:fill="FFFFFF"/>
          </w:tcPr>
          <w:p>
            <w:pPr>
              <w:spacing w:before="20" w:after="20"/>
              <w:jc w:val="center"/>
            </w:pPr>
            <w:r>
              <w:rPr>
                <w:rFonts w:ascii="Calibri" w:hAnsi="Calibri"/>
                <w:b w:val="0"/>
                <w:i w:val="0"/>
                <w:sz w:val="16"/>
              </w:rPr>
              <w:t>89.33%</w:t>
            </w:r>
          </w:p>
        </w:tc>
        <w:tc>
          <w:tcPr>
            <w:tcW w:type="dxa" w:w="692"/>
            <w:shd w:val="clear" w:color="auto" w:fill="FFFFFF"/>
          </w:tcPr>
          <w:p>
            <w:pPr>
              <w:spacing w:before="20" w:after="20"/>
              <w:jc w:val="center"/>
            </w:pPr>
            <w:r>
              <w:rPr>
                <w:rFonts w:ascii="Calibri" w:hAnsi="Calibri"/>
                <w:b w:val="0"/>
                <w:i w:val="0"/>
                <w:sz w:val="16"/>
              </w:rPr>
              <w:t>97.28%</w:t>
            </w:r>
          </w:p>
        </w:tc>
        <w:tc>
          <w:tcPr>
            <w:tcW w:type="dxa" w:w="692"/>
            <w:shd w:val="clear" w:color="auto" w:fill="FFFFFF"/>
          </w:tcPr>
          <w:p>
            <w:pPr>
              <w:spacing w:before="20" w:after="20"/>
              <w:jc w:val="center"/>
            </w:pPr>
            <w:r>
              <w:rPr>
                <w:rFonts w:ascii="Calibri" w:hAnsi="Calibri"/>
                <w:b w:val="0"/>
                <w:i w:val="0"/>
                <w:sz w:val="16"/>
              </w:rPr>
              <w:t>0.17</w:t>
            </w:r>
          </w:p>
        </w:tc>
        <w:tc>
          <w:tcPr>
            <w:tcW w:type="dxa" w:w="692"/>
            <w:shd w:val="clear" w:color="auto" w:fill="FFFFFF"/>
          </w:tcPr>
          <w:p>
            <w:pPr>
              <w:spacing w:before="20" w:after="20"/>
              <w:jc w:val="center"/>
            </w:pPr>
            <w:r>
              <w:rPr>
                <w:rFonts w:ascii="Calibri" w:hAnsi="Calibri"/>
                <w:b w:val="0"/>
                <w:i w:val="0"/>
                <w:sz w:val="16"/>
              </w:rPr>
              <w:t>0.00</w:t>
            </w:r>
          </w:p>
        </w:tc>
        <w:tc>
          <w:tcPr>
            <w:tcW w:type="dxa" w:w="692"/>
            <w:shd w:val="clear" w:color="auto" w:fill="FFFFFF"/>
          </w:tcPr>
          <w:p>
            <w:pPr>
              <w:spacing w:before="20" w:after="20"/>
              <w:jc w:val="center"/>
            </w:pPr>
            <w:r>
              <w:rPr>
                <w:rFonts w:ascii="Calibri" w:hAnsi="Calibri"/>
                <w:b w:val="0"/>
                <w:i w:val="0"/>
                <w:sz w:val="16"/>
              </w:rPr>
              <w:t>40.37%</w:t>
            </w:r>
          </w:p>
        </w:tc>
        <w:tc>
          <w:tcPr>
            <w:tcW w:type="dxa" w:w="692"/>
            <w:shd w:val="clear" w:color="auto" w:fill="FFFFFF"/>
          </w:tcPr>
          <w:p>
            <w:pPr>
              <w:spacing w:before="20" w:after="20"/>
              <w:jc w:val="center"/>
            </w:pPr>
            <w:r>
              <w:rPr>
                <w:rFonts w:ascii="Calibri" w:hAnsi="Calibri"/>
                <w:b w:val="0"/>
                <w:i w:val="0"/>
                <w:sz w:val="16"/>
              </w:rPr>
              <w:t>0.0%</w:t>
            </w:r>
          </w:p>
        </w:tc>
        <w:tc>
          <w:tcPr>
            <w:tcW w:type="dxa" w:w="692"/>
            <w:shd w:val="clear" w:color="auto" w:fill="FFFFFF"/>
          </w:tcPr>
          <w:p>
            <w:pPr>
              <w:spacing w:before="20" w:after="20"/>
              <w:jc w:val="center"/>
            </w:pPr>
            <w:r>
              <w:rPr>
                <w:rFonts w:ascii="Calibri" w:hAnsi="Calibri"/>
                <w:b w:val="0"/>
                <w:i w:val="0"/>
                <w:sz w:val="16"/>
              </w:rPr>
              <w:t>91.99</w:t>
            </w:r>
          </w:p>
        </w:tc>
        <w:tc>
          <w:tcPr>
            <w:tcW w:type="dxa" w:w="692"/>
            <w:shd w:val="clear" w:color="auto" w:fill="FFFFFF"/>
            <w:shd w:val="clear" w:color="auto" w:fill="FFFFFF"/>
          </w:tcPr>
          <w:p>
            <w:pPr>
              <w:spacing w:before="20" w:after="20"/>
              <w:jc w:val="center"/>
            </w:pPr>
            <w:r>
              <w:rPr>
                <w:rFonts w:ascii="Calibri" w:hAnsi="Calibri"/>
                <w:b/>
                <w:i w:val="0"/>
                <w:color w:val="404040"/>
                <w:sz w:val="16"/>
              </w:rPr>
              <w:t>8</w:t>
            </w:r>
          </w:p>
        </w:tc>
      </w:tr>
      <w:tr>
        <w:tc>
          <w:tcPr>
            <w:tcW w:type="dxa" w:w="692"/>
            <w:shd w:val="clear" w:color="auto" w:fill="F2F2F2"/>
          </w:tcPr>
          <w:p>
            <w:pPr>
              <w:spacing w:before="20" w:after="20"/>
              <w:jc w:val="center"/>
            </w:pPr>
            <w:r>
              <w:rPr>
                <w:rFonts w:ascii="Calibri" w:hAnsi="Calibri"/>
                <w:b w:val="0"/>
                <w:i w:val="0"/>
                <w:sz w:val="16"/>
              </w:rPr>
              <w:t>E01</w:t>
            </w:r>
          </w:p>
        </w:tc>
        <w:tc>
          <w:tcPr>
            <w:tcW w:type="dxa" w:w="692"/>
            <w:shd w:val="clear" w:color="auto" w:fill="F2F2F2"/>
          </w:tcPr>
          <w:p>
            <w:pPr>
              <w:spacing w:before="20" w:after="20"/>
              <w:jc w:val="left"/>
            </w:pPr>
            <w:r>
              <w:rPr>
                <w:rFonts w:ascii="Calibri" w:hAnsi="Calibri"/>
                <w:b w:val="0"/>
                <w:i w:val="0"/>
                <w:sz w:val="16"/>
              </w:rPr>
              <w:t>Zero-Shot Baseline</w:t>
            </w:r>
          </w:p>
        </w:tc>
        <w:tc>
          <w:tcPr>
            <w:tcW w:type="dxa" w:w="692"/>
            <w:shd w:val="clear" w:color="auto" w:fill="F2F2F2"/>
          </w:tcPr>
          <w:p>
            <w:pPr>
              <w:spacing w:before="20" w:after="20"/>
              <w:jc w:val="center"/>
            </w:pPr>
            <w:r>
              <w:rPr>
                <w:rFonts w:ascii="Calibri" w:hAnsi="Calibri"/>
                <w:b w:val="0"/>
                <w:i w:val="0"/>
                <w:sz w:val="16"/>
              </w:rPr>
              <w:t>99.67%</w:t>
            </w:r>
          </w:p>
        </w:tc>
        <w:tc>
          <w:tcPr>
            <w:tcW w:type="dxa" w:w="692"/>
            <w:shd w:val="clear" w:color="auto" w:fill="F2F2F2"/>
          </w:tcPr>
          <w:p>
            <w:pPr>
              <w:spacing w:before="20" w:after="20"/>
              <w:jc w:val="center"/>
            </w:pPr>
            <w:r>
              <w:rPr>
                <w:rFonts w:ascii="Calibri" w:hAnsi="Calibri"/>
                <w:b w:val="0"/>
                <w:i w:val="0"/>
                <w:sz w:val="16"/>
              </w:rPr>
              <w:t>100%</w:t>
            </w:r>
          </w:p>
        </w:tc>
        <w:tc>
          <w:tcPr>
            <w:tcW w:type="dxa" w:w="692"/>
            <w:shd w:val="clear" w:color="auto" w:fill="F2F2F2"/>
          </w:tcPr>
          <w:p>
            <w:pPr>
              <w:spacing w:before="20" w:after="20"/>
              <w:jc w:val="center"/>
            </w:pPr>
            <w:r>
              <w:rPr>
                <w:rFonts w:ascii="Calibri" w:hAnsi="Calibri"/>
                <w:b w:val="0"/>
                <w:i w:val="0"/>
                <w:sz w:val="16"/>
              </w:rPr>
              <w:t>99.67%</w:t>
            </w:r>
          </w:p>
        </w:tc>
        <w:tc>
          <w:tcPr>
            <w:tcW w:type="dxa" w:w="692"/>
            <w:shd w:val="clear" w:color="auto" w:fill="F2F2F2"/>
          </w:tcPr>
          <w:p>
            <w:pPr>
              <w:spacing w:before="20" w:after="20"/>
              <w:jc w:val="center"/>
            </w:pPr>
            <w:r>
              <w:rPr>
                <w:rFonts w:ascii="Calibri" w:hAnsi="Calibri"/>
                <w:b w:val="0"/>
                <w:i w:val="0"/>
                <w:sz w:val="16"/>
              </w:rPr>
              <w:t>100%</w:t>
            </w:r>
          </w:p>
        </w:tc>
        <w:tc>
          <w:tcPr>
            <w:tcW w:type="dxa" w:w="692"/>
            <w:shd w:val="clear" w:color="auto" w:fill="F2F2F2"/>
          </w:tcPr>
          <w:p>
            <w:pPr>
              <w:spacing w:before="20" w:after="20"/>
              <w:jc w:val="center"/>
            </w:pPr>
            <w:r>
              <w:rPr>
                <w:rFonts w:ascii="Calibri" w:hAnsi="Calibri"/>
                <w:b w:val="0"/>
                <w:i w:val="0"/>
                <w:sz w:val="16"/>
              </w:rPr>
              <w:t>88.67%</w:t>
            </w:r>
          </w:p>
        </w:tc>
        <w:tc>
          <w:tcPr>
            <w:tcW w:type="dxa" w:w="692"/>
            <w:shd w:val="clear" w:color="auto" w:fill="F2F2F2"/>
          </w:tcPr>
          <w:p>
            <w:pPr>
              <w:spacing w:before="20" w:after="20"/>
              <w:jc w:val="center"/>
            </w:pPr>
            <w:r>
              <w:rPr>
                <w:rFonts w:ascii="Calibri" w:hAnsi="Calibri"/>
                <w:b w:val="0"/>
                <w:i w:val="0"/>
                <w:sz w:val="16"/>
              </w:rPr>
              <w:t>98.0%</w:t>
            </w:r>
          </w:p>
        </w:tc>
        <w:tc>
          <w:tcPr>
            <w:tcW w:type="dxa" w:w="692"/>
            <w:shd w:val="clear" w:color="auto" w:fill="F2F2F2"/>
          </w:tcPr>
          <w:p>
            <w:pPr>
              <w:spacing w:before="20" w:after="20"/>
              <w:jc w:val="center"/>
            </w:pPr>
            <w:r>
              <w:rPr>
                <w:rFonts w:ascii="Calibri" w:hAnsi="Calibri"/>
                <w:b w:val="0"/>
                <w:i w:val="0"/>
                <w:sz w:val="16"/>
              </w:rPr>
              <w:t>0.21</w:t>
            </w:r>
          </w:p>
        </w:tc>
        <w:tc>
          <w:tcPr>
            <w:tcW w:type="dxa" w:w="692"/>
            <w:shd w:val="clear" w:color="auto" w:fill="F2F2F2"/>
          </w:tcPr>
          <w:p>
            <w:pPr>
              <w:spacing w:before="20" w:after="20"/>
              <w:jc w:val="center"/>
            </w:pPr>
            <w:r>
              <w:rPr>
                <w:rFonts w:ascii="Calibri" w:hAnsi="Calibri"/>
                <w:b w:val="0"/>
                <w:i w:val="0"/>
                <w:sz w:val="16"/>
              </w:rPr>
              <w:t>0.01</w:t>
            </w:r>
          </w:p>
        </w:tc>
        <w:tc>
          <w:tcPr>
            <w:tcW w:type="dxa" w:w="692"/>
            <w:shd w:val="clear" w:color="auto" w:fill="F2F2F2"/>
          </w:tcPr>
          <w:p>
            <w:pPr>
              <w:spacing w:before="20" w:after="20"/>
              <w:jc w:val="center"/>
            </w:pPr>
            <w:r>
              <w:rPr>
                <w:rFonts w:ascii="Calibri" w:hAnsi="Calibri"/>
                <w:b w:val="0"/>
                <w:i w:val="0"/>
                <w:sz w:val="16"/>
              </w:rPr>
              <w:t>41.33%</w:t>
            </w:r>
          </w:p>
        </w:tc>
        <w:tc>
          <w:tcPr>
            <w:tcW w:type="dxa" w:w="692"/>
            <w:shd w:val="clear" w:color="auto" w:fill="F2F2F2"/>
          </w:tcPr>
          <w:p>
            <w:pPr>
              <w:spacing w:before="20" w:after="20"/>
              <w:jc w:val="center"/>
            </w:pPr>
            <w:r>
              <w:rPr>
                <w:rFonts w:ascii="Calibri" w:hAnsi="Calibri"/>
                <w:b w:val="0"/>
                <w:i w:val="0"/>
                <w:sz w:val="16"/>
              </w:rPr>
              <w:t>0.0%</w:t>
            </w:r>
          </w:p>
        </w:tc>
        <w:tc>
          <w:tcPr>
            <w:tcW w:type="dxa" w:w="692"/>
            <w:shd w:val="clear" w:color="auto" w:fill="F2F2F2"/>
          </w:tcPr>
          <w:p>
            <w:pPr>
              <w:spacing w:before="20" w:after="20"/>
              <w:jc w:val="center"/>
            </w:pPr>
            <w:r>
              <w:rPr>
                <w:rFonts w:ascii="Calibri" w:hAnsi="Calibri"/>
                <w:b w:val="0"/>
                <w:i w:val="0"/>
                <w:sz w:val="16"/>
              </w:rPr>
              <w:t>91.91</w:t>
            </w:r>
          </w:p>
        </w:tc>
        <w:tc>
          <w:tcPr>
            <w:tcW w:type="dxa" w:w="692"/>
            <w:shd w:val="clear" w:color="auto" w:fill="F2F2F2"/>
            <w:shd w:val="clear" w:color="auto" w:fill="F2F2F2"/>
          </w:tcPr>
          <w:p>
            <w:pPr>
              <w:spacing w:before="20" w:after="20"/>
              <w:jc w:val="center"/>
            </w:pPr>
            <w:r>
              <w:rPr>
                <w:rFonts w:ascii="Calibri" w:hAnsi="Calibri"/>
                <w:b/>
                <w:i w:val="0"/>
                <w:color w:val="404040"/>
                <w:sz w:val="16"/>
              </w:rPr>
              <w:t>9</w:t>
            </w:r>
          </w:p>
        </w:tc>
      </w:tr>
    </w:tbl>
    <w:p/>
    <w:p>
      <w:pPr>
        <w:pStyle w:val="Heading1"/>
      </w:pPr>
      <w:r>
        <w:rPr>
          <w:rFonts w:ascii="Calibri" w:hAnsi="Calibri"/>
          <w:color w:val="1F3564"/>
        </w:rPr>
        <w:t>Section 11 – Weighted Scoring Logic</w:t>
      </w:r>
    </w:p>
    <w:p>
      <w:pPr>
        <w:spacing w:before="40" w:after="40"/>
      </w:pPr>
      <w:r>
        <w:rPr>
          <w:rFonts w:ascii="Calibri" w:hAnsi="Calibri"/>
          <w:b w:val="0"/>
          <w:i w:val="0"/>
          <w:sz w:val="21"/>
        </w:rPr>
        <w:t>The composite score weights nine metrics (Code Similarity is reported but excluded from scoring). Lower-is-better metrics (Security Issues, Hardcoded Secrets) are inverted before weighting. The final score is scaled to a 0–100 range.</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2E74B5"/>
          </w:tcPr>
          <w:p>
            <w:pPr>
              <w:spacing w:before="20" w:after="20"/>
              <w:jc w:val="center"/>
            </w:pPr>
            <w:r>
              <w:rPr>
                <w:rFonts w:ascii="Calibri" w:hAnsi="Calibri"/>
                <w:b/>
                <w:i w:val="0"/>
                <w:color w:val="FFFFFF"/>
                <w:sz w:val="18"/>
              </w:rPr>
              <w:t>Metric</w:t>
            </w:r>
          </w:p>
        </w:tc>
        <w:tc>
          <w:tcPr>
            <w:tcW w:type="dxa" w:w="3230"/>
            <w:shd w:val="clear" w:color="auto" w:fill="2E74B5"/>
          </w:tcPr>
          <w:p>
            <w:pPr>
              <w:spacing w:before="20" w:after="20"/>
              <w:jc w:val="center"/>
            </w:pPr>
            <w:r>
              <w:rPr>
                <w:rFonts w:ascii="Calibri" w:hAnsi="Calibri"/>
                <w:b/>
                <w:i w:val="0"/>
                <w:color w:val="FFFFFF"/>
                <w:sz w:val="18"/>
              </w:rPr>
              <w:t>Suggested Weight</w:t>
            </w:r>
          </w:p>
        </w:tc>
        <w:tc>
          <w:tcPr>
            <w:tcW w:type="dxa" w:w="3230"/>
            <w:shd w:val="clear" w:color="auto" w:fill="2E74B5"/>
          </w:tcPr>
          <w:p>
            <w:pPr>
              <w:spacing w:before="20" w:after="20"/>
              <w:jc w:val="center"/>
            </w:pPr>
            <w:r>
              <w:rPr>
                <w:rFonts w:ascii="Calibri" w:hAnsi="Calibri"/>
                <w:b/>
                <w:i w:val="0"/>
                <w:color w:val="FFFFFF"/>
                <w:sz w:val="18"/>
              </w:rPr>
              <w:t>Direction</w:t>
            </w:r>
          </w:p>
        </w:tc>
      </w:tr>
      <w:tr>
        <w:tc>
          <w:tcPr>
            <w:tcW w:type="dxa" w:w="3230"/>
            <w:shd w:val="clear" w:color="auto" w:fill="F2F2F2"/>
          </w:tcPr>
          <w:p>
            <w:pPr>
              <w:spacing w:before="20" w:after="20"/>
              <w:jc w:val="left"/>
            </w:pPr>
            <w:r>
              <w:rPr>
                <w:rFonts w:ascii="Calibri" w:hAnsi="Calibri"/>
                <w:b w:val="0"/>
                <w:i w:val="0"/>
                <w:sz w:val="18"/>
              </w:rPr>
              <w:t>HCL Syntax Validity</w:t>
            </w:r>
          </w:p>
        </w:tc>
        <w:tc>
          <w:tcPr>
            <w:tcW w:type="dxa" w:w="3230"/>
            <w:shd w:val="clear" w:color="auto" w:fill="F2F2F2"/>
          </w:tcPr>
          <w:p>
            <w:pPr>
              <w:spacing w:before="20" w:after="20"/>
              <w:jc w:val="center"/>
            </w:pPr>
            <w:r>
              <w:rPr>
                <w:rFonts w:ascii="Calibri" w:hAnsi="Calibri"/>
                <w:b w:val="0"/>
                <w:i w:val="0"/>
                <w:sz w:val="18"/>
              </w:rPr>
              <w:t>15%</w:t>
            </w:r>
          </w:p>
        </w:tc>
        <w:tc>
          <w:tcPr>
            <w:tcW w:type="dxa" w:w="3230"/>
            <w:shd w:val="clear" w:color="auto" w:fill="F2F2F2"/>
          </w:tcPr>
          <w:p>
            <w:pPr>
              <w:spacing w:before="20" w:after="20"/>
              <w:jc w:val="center"/>
            </w:pPr>
            <w:r>
              <w:rPr>
                <w:rFonts w:ascii="Calibri" w:hAnsi="Calibri"/>
                <w:b w:val="0"/>
                <w:i w:val="0"/>
                <w:sz w:val="18"/>
              </w:rPr>
              <w:t>Higher is better</w:t>
            </w:r>
          </w:p>
        </w:tc>
      </w:tr>
      <w:tr>
        <w:tc>
          <w:tcPr>
            <w:tcW w:type="dxa" w:w="3230"/>
            <w:shd w:val="clear" w:color="auto" w:fill="FFFFFF"/>
          </w:tcPr>
          <w:p>
            <w:pPr>
              <w:spacing w:before="20" w:after="20"/>
              <w:jc w:val="left"/>
            </w:pPr>
            <w:r>
              <w:rPr>
                <w:rFonts w:ascii="Calibri" w:hAnsi="Calibri"/>
                <w:b w:val="0"/>
                <w:i w:val="0"/>
                <w:sz w:val="18"/>
              </w:rPr>
              <w:t>Terraform Format Pass</w:t>
            </w:r>
          </w:p>
        </w:tc>
        <w:tc>
          <w:tcPr>
            <w:tcW w:type="dxa" w:w="3230"/>
            <w:shd w:val="clear" w:color="auto" w:fill="FFFFFF"/>
          </w:tcPr>
          <w:p>
            <w:pPr>
              <w:spacing w:before="20" w:after="20"/>
              <w:jc w:val="center"/>
            </w:pPr>
            <w:r>
              <w:rPr>
                <w:rFonts w:ascii="Calibri" w:hAnsi="Calibri"/>
                <w:b w:val="0"/>
                <w:i w:val="0"/>
                <w:sz w:val="18"/>
              </w:rPr>
              <w:t>10%</w:t>
            </w:r>
          </w:p>
        </w:tc>
        <w:tc>
          <w:tcPr>
            <w:tcW w:type="dxa" w:w="3230"/>
            <w:shd w:val="clear" w:color="auto" w:fill="FFFFFF"/>
          </w:tcPr>
          <w:p>
            <w:pPr>
              <w:spacing w:before="20" w:after="20"/>
              <w:jc w:val="center"/>
            </w:pPr>
            <w:r>
              <w:rPr>
                <w:rFonts w:ascii="Calibri" w:hAnsi="Calibri"/>
                <w:b w:val="0"/>
                <w:i w:val="0"/>
                <w:sz w:val="18"/>
              </w:rPr>
              <w:t>Higher is better</w:t>
            </w:r>
          </w:p>
        </w:tc>
      </w:tr>
      <w:tr>
        <w:tc>
          <w:tcPr>
            <w:tcW w:type="dxa" w:w="3230"/>
            <w:shd w:val="clear" w:color="auto" w:fill="F2F2F2"/>
          </w:tcPr>
          <w:p>
            <w:pPr>
              <w:spacing w:before="20" w:after="20"/>
              <w:jc w:val="left"/>
            </w:pPr>
            <w:r>
              <w:rPr>
                <w:rFonts w:ascii="Calibri" w:hAnsi="Calibri"/>
                <w:b w:val="0"/>
                <w:i w:val="0"/>
                <w:sz w:val="18"/>
              </w:rPr>
              <w:t>Terraform Validation Pass</w:t>
            </w:r>
          </w:p>
        </w:tc>
        <w:tc>
          <w:tcPr>
            <w:tcW w:type="dxa" w:w="3230"/>
            <w:shd w:val="clear" w:color="auto" w:fill="F2F2F2"/>
          </w:tcPr>
          <w:p>
            <w:pPr>
              <w:spacing w:before="20" w:after="20"/>
              <w:jc w:val="center"/>
            </w:pPr>
            <w:r>
              <w:rPr>
                <w:rFonts w:ascii="Calibri" w:hAnsi="Calibri"/>
                <w:b w:val="0"/>
                <w:i w:val="0"/>
                <w:sz w:val="18"/>
              </w:rPr>
              <w:t>15%</w:t>
            </w:r>
          </w:p>
        </w:tc>
        <w:tc>
          <w:tcPr>
            <w:tcW w:type="dxa" w:w="3230"/>
            <w:shd w:val="clear" w:color="auto" w:fill="F2F2F2"/>
          </w:tcPr>
          <w:p>
            <w:pPr>
              <w:spacing w:before="20" w:after="20"/>
              <w:jc w:val="center"/>
            </w:pPr>
            <w:r>
              <w:rPr>
                <w:rFonts w:ascii="Calibri" w:hAnsi="Calibri"/>
                <w:b w:val="0"/>
                <w:i w:val="0"/>
                <w:sz w:val="18"/>
              </w:rPr>
              <w:t>Higher is better</w:t>
            </w:r>
          </w:p>
        </w:tc>
      </w:tr>
      <w:tr>
        <w:tc>
          <w:tcPr>
            <w:tcW w:type="dxa" w:w="3230"/>
            <w:shd w:val="clear" w:color="auto" w:fill="FFFFFF"/>
          </w:tcPr>
          <w:p>
            <w:pPr>
              <w:spacing w:before="20" w:after="20"/>
              <w:jc w:val="left"/>
            </w:pPr>
            <w:r>
              <w:rPr>
                <w:rFonts w:ascii="Calibri" w:hAnsi="Calibri"/>
                <w:b w:val="0"/>
                <w:i w:val="0"/>
                <w:sz w:val="18"/>
              </w:rPr>
              <w:t>Provider Correctness</w:t>
            </w:r>
          </w:p>
        </w:tc>
        <w:tc>
          <w:tcPr>
            <w:tcW w:type="dxa" w:w="3230"/>
            <w:shd w:val="clear" w:color="auto" w:fill="FFFFFF"/>
          </w:tcPr>
          <w:p>
            <w:pPr>
              <w:spacing w:before="20" w:after="20"/>
              <w:jc w:val="center"/>
            </w:pPr>
            <w:r>
              <w:rPr>
                <w:rFonts w:ascii="Calibri" w:hAnsi="Calibri"/>
                <w:b w:val="0"/>
                <w:i w:val="0"/>
                <w:sz w:val="18"/>
              </w:rPr>
              <w:t>15%</w:t>
            </w:r>
          </w:p>
        </w:tc>
        <w:tc>
          <w:tcPr>
            <w:tcW w:type="dxa" w:w="3230"/>
            <w:shd w:val="clear" w:color="auto" w:fill="FFFFFF"/>
          </w:tcPr>
          <w:p>
            <w:pPr>
              <w:spacing w:before="20" w:after="20"/>
              <w:jc w:val="center"/>
            </w:pPr>
            <w:r>
              <w:rPr>
                <w:rFonts w:ascii="Calibri" w:hAnsi="Calibri"/>
                <w:b w:val="0"/>
                <w:i w:val="0"/>
                <w:sz w:val="18"/>
              </w:rPr>
              <w:t>Higher is better</w:t>
            </w:r>
          </w:p>
        </w:tc>
      </w:tr>
      <w:tr>
        <w:tc>
          <w:tcPr>
            <w:tcW w:type="dxa" w:w="3230"/>
            <w:shd w:val="clear" w:color="auto" w:fill="F2F2F2"/>
          </w:tcPr>
          <w:p>
            <w:pPr>
              <w:spacing w:before="20" w:after="20"/>
              <w:jc w:val="left"/>
            </w:pPr>
            <w:r>
              <w:rPr>
                <w:rFonts w:ascii="Calibri" w:hAnsi="Calibri"/>
                <w:b w:val="0"/>
                <w:i w:val="0"/>
                <w:sz w:val="18"/>
              </w:rPr>
              <w:t>Resource Coverage</w:t>
            </w:r>
          </w:p>
        </w:tc>
        <w:tc>
          <w:tcPr>
            <w:tcW w:type="dxa" w:w="3230"/>
            <w:shd w:val="clear" w:color="auto" w:fill="F2F2F2"/>
          </w:tcPr>
          <w:p>
            <w:pPr>
              <w:spacing w:before="20" w:after="20"/>
              <w:jc w:val="center"/>
            </w:pPr>
            <w:r>
              <w:rPr>
                <w:rFonts w:ascii="Calibri" w:hAnsi="Calibri"/>
                <w:b w:val="0"/>
                <w:i w:val="0"/>
                <w:sz w:val="18"/>
              </w:rPr>
              <w:t>15%</w:t>
            </w:r>
          </w:p>
        </w:tc>
        <w:tc>
          <w:tcPr>
            <w:tcW w:type="dxa" w:w="3230"/>
            <w:shd w:val="clear" w:color="auto" w:fill="F2F2F2"/>
          </w:tcPr>
          <w:p>
            <w:pPr>
              <w:spacing w:before="20" w:after="20"/>
              <w:jc w:val="center"/>
            </w:pPr>
            <w:r>
              <w:rPr>
                <w:rFonts w:ascii="Calibri" w:hAnsi="Calibri"/>
                <w:b w:val="0"/>
                <w:i w:val="0"/>
                <w:sz w:val="18"/>
              </w:rPr>
              <w:t>Higher is better</w:t>
            </w:r>
          </w:p>
        </w:tc>
      </w:tr>
      <w:tr>
        <w:tc>
          <w:tcPr>
            <w:tcW w:type="dxa" w:w="3230"/>
            <w:shd w:val="clear" w:color="auto" w:fill="FFFFFF"/>
          </w:tcPr>
          <w:p>
            <w:pPr>
              <w:spacing w:before="20" w:after="20"/>
              <w:jc w:val="left"/>
            </w:pPr>
            <w:r>
              <w:rPr>
                <w:rFonts w:ascii="Calibri" w:hAnsi="Calibri"/>
                <w:b w:val="0"/>
                <w:i w:val="0"/>
                <w:sz w:val="18"/>
              </w:rPr>
              <w:t>Dependency Correctness</w:t>
            </w:r>
          </w:p>
        </w:tc>
        <w:tc>
          <w:tcPr>
            <w:tcW w:type="dxa" w:w="3230"/>
            <w:shd w:val="clear" w:color="auto" w:fill="FFFFFF"/>
          </w:tcPr>
          <w:p>
            <w:pPr>
              <w:spacing w:before="20" w:after="20"/>
              <w:jc w:val="center"/>
            </w:pPr>
            <w:r>
              <w:rPr>
                <w:rFonts w:ascii="Calibri" w:hAnsi="Calibri"/>
                <w:b w:val="0"/>
                <w:i w:val="0"/>
                <w:sz w:val="18"/>
              </w:rPr>
              <w:t>10%</w:t>
            </w:r>
          </w:p>
        </w:tc>
        <w:tc>
          <w:tcPr>
            <w:tcW w:type="dxa" w:w="3230"/>
            <w:shd w:val="clear" w:color="auto" w:fill="FFFFFF"/>
          </w:tcPr>
          <w:p>
            <w:pPr>
              <w:spacing w:before="20" w:after="20"/>
              <w:jc w:val="center"/>
            </w:pPr>
            <w:r>
              <w:rPr>
                <w:rFonts w:ascii="Calibri" w:hAnsi="Calibri"/>
                <w:b w:val="0"/>
                <w:i w:val="0"/>
                <w:sz w:val="18"/>
              </w:rPr>
              <w:t>Higher is better</w:t>
            </w:r>
          </w:p>
        </w:tc>
      </w:tr>
      <w:tr>
        <w:tc>
          <w:tcPr>
            <w:tcW w:type="dxa" w:w="3230"/>
            <w:shd w:val="clear" w:color="auto" w:fill="F2F2F2"/>
          </w:tcPr>
          <w:p>
            <w:pPr>
              <w:spacing w:before="20" w:after="20"/>
              <w:jc w:val="left"/>
            </w:pPr>
            <w:r>
              <w:rPr>
                <w:rFonts w:ascii="Calibri" w:hAnsi="Calibri"/>
                <w:b w:val="0"/>
                <w:i w:val="0"/>
                <w:sz w:val="18"/>
              </w:rPr>
              <w:t>Best-Practice Score</w:t>
            </w:r>
          </w:p>
        </w:tc>
        <w:tc>
          <w:tcPr>
            <w:tcW w:type="dxa" w:w="3230"/>
            <w:shd w:val="clear" w:color="auto" w:fill="F2F2F2"/>
          </w:tcPr>
          <w:p>
            <w:pPr>
              <w:spacing w:before="20" w:after="20"/>
              <w:jc w:val="center"/>
            </w:pPr>
            <w:r>
              <w:rPr>
                <w:rFonts w:ascii="Calibri" w:hAnsi="Calibri"/>
                <w:b w:val="0"/>
                <w:i w:val="0"/>
                <w:sz w:val="18"/>
              </w:rPr>
              <w:t>10%</w:t>
            </w:r>
          </w:p>
        </w:tc>
        <w:tc>
          <w:tcPr>
            <w:tcW w:type="dxa" w:w="3230"/>
            <w:shd w:val="clear" w:color="auto" w:fill="F2F2F2"/>
          </w:tcPr>
          <w:p>
            <w:pPr>
              <w:spacing w:before="20" w:after="20"/>
              <w:jc w:val="center"/>
            </w:pPr>
            <w:r>
              <w:rPr>
                <w:rFonts w:ascii="Calibri" w:hAnsi="Calibri"/>
                <w:b w:val="0"/>
                <w:i w:val="0"/>
                <w:sz w:val="18"/>
              </w:rPr>
              <w:t>Higher is better</w:t>
            </w:r>
          </w:p>
        </w:tc>
      </w:tr>
      <w:tr>
        <w:tc>
          <w:tcPr>
            <w:tcW w:type="dxa" w:w="3230"/>
            <w:shd w:val="clear" w:color="auto" w:fill="FFFFFF"/>
          </w:tcPr>
          <w:p>
            <w:pPr>
              <w:spacing w:before="20" w:after="20"/>
              <w:jc w:val="left"/>
            </w:pPr>
            <w:r>
              <w:rPr>
                <w:rFonts w:ascii="Calibri" w:hAnsi="Calibri"/>
                <w:b w:val="0"/>
                <w:i w:val="0"/>
                <w:sz w:val="18"/>
              </w:rPr>
              <w:t>Security Issue Reduction</w:t>
            </w:r>
          </w:p>
        </w:tc>
        <w:tc>
          <w:tcPr>
            <w:tcW w:type="dxa" w:w="3230"/>
            <w:shd w:val="clear" w:color="auto" w:fill="FFFFFF"/>
          </w:tcPr>
          <w:p>
            <w:pPr>
              <w:spacing w:before="20" w:after="20"/>
              <w:jc w:val="center"/>
            </w:pPr>
            <w:r>
              <w:rPr>
                <w:rFonts w:ascii="Calibri" w:hAnsi="Calibri"/>
                <w:b w:val="0"/>
                <w:i w:val="0"/>
                <w:sz w:val="18"/>
              </w:rPr>
              <w:t>5%</w:t>
            </w:r>
          </w:p>
        </w:tc>
        <w:tc>
          <w:tcPr>
            <w:tcW w:type="dxa" w:w="3230"/>
            <w:shd w:val="clear" w:color="auto" w:fill="FFFFFF"/>
          </w:tcPr>
          <w:p>
            <w:pPr>
              <w:spacing w:before="20" w:after="20"/>
              <w:jc w:val="center"/>
            </w:pPr>
            <w:r>
              <w:rPr>
                <w:rFonts w:ascii="Calibri" w:hAnsi="Calibri"/>
                <w:b w:val="0"/>
                <w:i w:val="0"/>
                <w:sz w:val="18"/>
              </w:rPr>
              <w:t>Lower is better (inverted)</w:t>
            </w:r>
          </w:p>
        </w:tc>
      </w:tr>
      <w:tr>
        <w:tc>
          <w:tcPr>
            <w:tcW w:type="dxa" w:w="3230"/>
            <w:shd w:val="clear" w:color="auto" w:fill="F2F2F2"/>
          </w:tcPr>
          <w:p>
            <w:pPr>
              <w:spacing w:before="20" w:after="20"/>
              <w:jc w:val="left"/>
            </w:pPr>
            <w:r>
              <w:rPr>
                <w:rFonts w:ascii="Calibri" w:hAnsi="Calibri"/>
                <w:b w:val="0"/>
                <w:i w:val="0"/>
                <w:sz w:val="18"/>
              </w:rPr>
              <w:t>Hardcoded Secret Reduction</w:t>
            </w:r>
          </w:p>
        </w:tc>
        <w:tc>
          <w:tcPr>
            <w:tcW w:type="dxa" w:w="3230"/>
            <w:shd w:val="clear" w:color="auto" w:fill="F2F2F2"/>
          </w:tcPr>
          <w:p>
            <w:pPr>
              <w:spacing w:before="20" w:after="20"/>
              <w:jc w:val="center"/>
            </w:pPr>
            <w:r>
              <w:rPr>
                <w:rFonts w:ascii="Calibri" w:hAnsi="Calibri"/>
                <w:b w:val="0"/>
                <w:i w:val="0"/>
                <w:sz w:val="18"/>
              </w:rPr>
              <w:t>5%</w:t>
            </w:r>
          </w:p>
        </w:tc>
        <w:tc>
          <w:tcPr>
            <w:tcW w:type="dxa" w:w="3230"/>
            <w:shd w:val="clear" w:color="auto" w:fill="F2F2F2"/>
          </w:tcPr>
          <w:p>
            <w:pPr>
              <w:spacing w:before="20" w:after="20"/>
              <w:jc w:val="center"/>
            </w:pPr>
            <w:r>
              <w:rPr>
                <w:rFonts w:ascii="Calibri" w:hAnsi="Calibri"/>
                <w:b w:val="0"/>
                <w:i w:val="0"/>
                <w:sz w:val="18"/>
              </w:rPr>
              <w:t>Lower is better (inverted)</w:t>
            </w:r>
          </w:p>
        </w:tc>
      </w:tr>
    </w:tbl>
    <w:p/>
    <w:p>
      <w:pPr>
        <w:pStyle w:val="Heading1"/>
      </w:pPr>
      <w:r>
        <w:rPr>
          <w:rFonts w:ascii="Calibri" w:hAnsi="Calibri"/>
          <w:color w:val="1F3564"/>
        </w:rPr>
        <w:t>Per-Experiment Results (Following Coding Guide Format)</w:t>
      </w:r>
    </w:p>
    <w:p>
      <w:pPr>
        <w:spacing w:before="40" w:after="40"/>
      </w:pPr>
      <w:r>
        <w:rPr>
          <w:rFonts w:ascii="Calibri" w:hAnsi="Calibri"/>
          <w:b w:val="0"/>
          <w:i w:val="0"/>
          <w:sz w:val="21"/>
        </w:rPr>
        <w:t>Each experiment section below follows the format defined in the coding guide sample: Goal, Implementation Steps, Results Discussion, Advantages, Disadvantages, and Main Results Table.</w:t>
      </w:r>
    </w:p>
    <w:p>
      <w:r>
        <w:br w:type="page"/>
      </w:r>
    </w:p>
    <w:p>
      <w:pPr>
        <w:pStyle w:val="Heading2"/>
      </w:pPr>
      <w:r>
        <w:rPr>
          <w:color w:val="1F3564"/>
        </w:rPr>
        <w:t>E01 – Zero-Shot Baseline</w:t>
      </w:r>
    </w:p>
    <w:p>
      <w:pPr>
        <w:spacing w:before="120" w:after="40"/>
      </w:pPr>
      <w:r>
        <w:rPr>
          <w:rFonts w:ascii="Calibri" w:hAnsi="Calibri"/>
          <w:b/>
          <w:color w:val="2E74B5"/>
          <w:sz w:val="21"/>
        </w:rPr>
        <w:t>Goal</w:t>
      </w:r>
    </w:p>
    <w:p>
      <w:pPr>
        <w:spacing w:before="40" w:after="40"/>
      </w:pPr>
      <w:r>
        <w:rPr>
          <w:rFonts w:ascii="Calibri" w:hAnsi="Calibri"/>
          <w:b w:val="0"/>
          <w:i w:val="0"/>
          <w:sz w:val="21"/>
        </w:rPr>
        <w:t>This experiment acts as the baseline for the full study. The LLM generates Terraform HCL code directly from the natural-language prompt without any examples, retrieval context, security guidance, or validation feedback. It establishes the performance ceiling of pure LLM generation and provides the reference point against which all advanced experiments are compared.</w:t>
      </w:r>
    </w:p>
    <w:p>
      <w:pPr>
        <w:spacing w:before="40" w:after="40"/>
      </w:pPr>
      <w:r>
        <w:rPr>
          <w:rFonts w:ascii="Calibri" w:hAnsi="Calibri"/>
          <w:b/>
          <w:i w:val="0"/>
          <w:sz w:val="20"/>
        </w:rPr>
        <w:t>Primary Evaluation Focus: HCL Syntax Validity, Terraform Validation Pass, Provider Correctness</w:t>
      </w:r>
    </w:p>
    <w:p>
      <w:pPr>
        <w:spacing w:before="120" w:after="40"/>
      </w:pPr>
      <w:r>
        <w:rPr>
          <w:rFonts w:ascii="Calibri" w:hAnsi="Calibri"/>
          <w:b/>
          <w:color w:val="2E74B5"/>
          <w:sz w:val="21"/>
        </w:rPr>
        <w:t>Implementation Steps</w:t>
      </w:r>
    </w:p>
    <w:p>
      <w:pPr>
        <w:pStyle w:val="ListBullet"/>
        <w:spacing w:before="20" w:after="20"/>
      </w:pPr>
      <w:r>
        <w:rPr>
          <w:rFonts w:ascii="Calibri" w:hAnsi="Calibri"/>
          <w:sz w:val="20"/>
        </w:rPr>
        <w:t>The fixed 300-prompt test set (100 AWS, 100 Azure, 100 GCP) was loaded from test_prompts_300.json.</w:t>
      </w:r>
    </w:p>
    <w:p>
      <w:pPr>
        <w:pStyle w:val="ListBullet"/>
        <w:spacing w:before="20" w:after="20"/>
      </w:pPr>
      <w:r>
        <w:rPr>
          <w:rFonts w:ascii="Calibri" w:hAnsi="Calibri"/>
          <w:sz w:val="20"/>
        </w:rPr>
        <w:t>Each prompt was passed directly to the LLaMA 3.3 70B model via the Together AI API with a minimal instruction: generate valid Terraform HCL code only.</w:t>
      </w:r>
    </w:p>
    <w:p>
      <w:pPr>
        <w:pStyle w:val="ListBullet"/>
        <w:spacing w:before="20" w:after="20"/>
      </w:pPr>
      <w:r>
        <w:rPr>
          <w:rFonts w:ascii="Calibri" w:hAnsi="Calibri"/>
          <w:sz w:val="20"/>
        </w:rPr>
        <w:t>No TerraDS examples, retrieval context, or special instructions were added to the prompt.</w:t>
      </w:r>
    </w:p>
    <w:p>
      <w:pPr>
        <w:pStyle w:val="ListBullet"/>
        <w:spacing w:before="20" w:after="20"/>
      </w:pPr>
      <w:r>
        <w:rPr>
          <w:rFonts w:ascii="Calibri" w:hAnsi="Calibri"/>
          <w:sz w:val="20"/>
        </w:rPr>
        <w:t>Generated code was saved per prompt and evaluated using the ten offline metrics defined in evaluator.py.</w:t>
      </w:r>
    </w:p>
    <w:p>
      <w:pPr>
        <w:pStyle w:val="ListBullet"/>
        <w:spacing w:before="20" w:after="20"/>
      </w:pPr>
      <w:r>
        <w:rPr>
          <w:rFonts w:ascii="Calibri" w:hAnsi="Calibri"/>
          <w:sz w:val="20"/>
        </w:rPr>
        <w:t>Aggregated metrics were computed over all 300 samples and stored in E01_ZeroShot_results.json.</w:t>
      </w:r>
    </w:p>
    <w:p>
      <w:pPr>
        <w:spacing w:before="120" w:after="40"/>
      </w:pPr>
      <w:r>
        <w:rPr>
          <w:rFonts w:ascii="Calibri" w:hAnsi="Calibri"/>
          <w:b/>
          <w:color w:val="2E74B5"/>
          <w:sz w:val="21"/>
        </w:rPr>
        <w:t>Results Discussion</w:t>
      </w:r>
    </w:p>
    <w:p>
      <w:pPr>
        <w:pStyle w:val="ListBullet"/>
        <w:spacing w:before="20" w:after="20"/>
      </w:pPr>
      <w:r>
        <w:rPr>
          <w:rFonts w:ascii="Calibri" w:hAnsi="Calibri"/>
          <w:b/>
          <w:sz w:val="20"/>
        </w:rPr>
        <w:t xml:space="preserve">HCL Syntax Validity (99.67%): </w:t>
      </w:r>
      <w:r>
        <w:rPr>
          <w:rFonts w:ascii="Calibri" w:hAnsi="Calibri"/>
          <w:sz w:val="20"/>
        </w:rPr>
        <w:t>Near-perfect syntax validity confirms the LLaMA 3.3 70B model has strong structural knowledge of HCL even without guidance.</w:t>
      </w:r>
    </w:p>
    <w:p>
      <w:pPr>
        <w:pStyle w:val="ListBullet"/>
        <w:spacing w:before="20" w:after="20"/>
      </w:pPr>
      <w:r>
        <w:rPr>
          <w:rFonts w:ascii="Calibri" w:hAnsi="Calibri"/>
          <w:b/>
          <w:sz w:val="20"/>
        </w:rPr>
        <w:t xml:space="preserve">Terraform Format Pass (100%): </w:t>
      </w:r>
      <w:r>
        <w:rPr>
          <w:rFonts w:ascii="Calibri" w:hAnsi="Calibri"/>
          <w:sz w:val="20"/>
        </w:rPr>
        <w:t>All generated code passed formatting checks, indicating the model consistently produces properly formatted Terraform blocks.</w:t>
      </w:r>
    </w:p>
    <w:p>
      <w:pPr>
        <w:pStyle w:val="ListBullet"/>
        <w:spacing w:before="20" w:after="20"/>
      </w:pPr>
      <w:r>
        <w:rPr>
          <w:rFonts w:ascii="Calibri" w:hAnsi="Calibri"/>
          <w:b/>
          <w:sz w:val="20"/>
        </w:rPr>
        <w:t xml:space="preserve">Terraform Validation Pass (99.67%): </w:t>
      </w:r>
      <w:r>
        <w:rPr>
          <w:rFonts w:ascii="Calibri" w:hAnsi="Calibri"/>
          <w:sz w:val="20"/>
        </w:rPr>
        <w:t>High validation pass rate shows the baseline already generates mostly valid configurations.</w:t>
      </w:r>
    </w:p>
    <w:p>
      <w:pPr>
        <w:pStyle w:val="ListBullet"/>
        <w:spacing w:before="20" w:after="20"/>
      </w:pPr>
      <w:r>
        <w:rPr>
          <w:rFonts w:ascii="Calibri" w:hAnsi="Calibri"/>
          <w:b/>
          <w:sz w:val="20"/>
        </w:rPr>
        <w:t xml:space="preserve">Provider Correctness (100%): </w:t>
      </w:r>
      <w:r>
        <w:rPr>
          <w:rFonts w:ascii="Calibri" w:hAnsi="Calibri"/>
          <w:sz w:val="20"/>
        </w:rPr>
        <w:t>The model correctly assigned provider-specific resources without any provider-specific instructions, demonstrating inherent multi-cloud awareness.</w:t>
      </w:r>
    </w:p>
    <w:p>
      <w:pPr>
        <w:pStyle w:val="ListBullet"/>
        <w:spacing w:before="20" w:after="20"/>
      </w:pPr>
      <w:r>
        <w:rPr>
          <w:rFonts w:ascii="Calibri" w:hAnsi="Calibri"/>
          <w:b/>
          <w:sz w:val="20"/>
        </w:rPr>
        <w:t xml:space="preserve">Resource Coverage (88.67%): </w:t>
      </w:r>
      <w:r>
        <w:rPr>
          <w:rFonts w:ascii="Calibri" w:hAnsi="Calibri"/>
          <w:sz w:val="20"/>
        </w:rPr>
        <w:t>Lowest coverage across all experiments. Without examples or retrieval, the model frequently omits supporting resources.</w:t>
      </w:r>
    </w:p>
    <w:p>
      <w:pPr>
        <w:pStyle w:val="ListBullet"/>
        <w:spacing w:before="20" w:after="20"/>
      </w:pPr>
      <w:r>
        <w:rPr>
          <w:rFonts w:ascii="Calibri" w:hAnsi="Calibri"/>
          <w:b/>
          <w:sz w:val="20"/>
        </w:rPr>
        <w:t xml:space="preserve">Dependency Score (98.00%): </w:t>
      </w:r>
      <w:r>
        <w:rPr>
          <w:rFonts w:ascii="Calibri" w:hAnsi="Calibri"/>
          <w:sz w:val="20"/>
        </w:rPr>
        <w:t>Dependency references are reasonably maintained even in zero-shot mode.</w:t>
      </w:r>
    </w:p>
    <w:p>
      <w:pPr>
        <w:pStyle w:val="ListBullet"/>
        <w:spacing w:before="20" w:after="20"/>
      </w:pPr>
      <w:r>
        <w:rPr>
          <w:rFonts w:ascii="Calibri" w:hAnsi="Calibri"/>
          <w:b/>
          <w:sz w:val="20"/>
        </w:rPr>
        <w:t xml:space="preserve">Security Issues (0.2133 per sample): </w:t>
      </w:r>
      <w:r>
        <w:rPr>
          <w:rFonts w:ascii="Calibri" w:hAnsi="Calibri"/>
          <w:sz w:val="20"/>
        </w:rPr>
        <w:t>Mid-range security issues. Without explicit security instructions, the model defaults to common but not optimal security postures.</w:t>
      </w:r>
    </w:p>
    <w:p>
      <w:pPr>
        <w:pStyle w:val="ListBullet"/>
        <w:spacing w:before="20" w:after="20"/>
      </w:pPr>
      <w:r>
        <w:rPr>
          <w:rFonts w:ascii="Calibri" w:hAnsi="Calibri"/>
          <w:b/>
          <w:sz w:val="20"/>
        </w:rPr>
        <w:t xml:space="preserve">Best-Practice Score (41.33%): </w:t>
      </w:r>
      <w:r>
        <w:rPr>
          <w:rFonts w:ascii="Calibri" w:hAnsi="Calibri"/>
          <w:sz w:val="20"/>
        </w:rPr>
        <w:t>Lowest best-practice score across all experiments — confirms the model does not use variables, outputs, and tags without prompting.</w:t>
      </w:r>
    </w:p>
    <w:p>
      <w:pPr>
        <w:pStyle w:val="ListBullet"/>
        <w:spacing w:before="20" w:after="20"/>
      </w:pPr>
      <w:r>
        <w:rPr>
          <w:rFonts w:ascii="Calibri" w:hAnsi="Calibri"/>
          <w:b/>
          <w:sz w:val="20"/>
        </w:rPr>
        <w:t xml:space="preserve">Code Similarity (0.0%): </w:t>
      </w:r>
      <w:r>
        <w:rPr>
          <w:rFonts w:ascii="Calibri" w:hAnsi="Calibri"/>
          <w:sz w:val="20"/>
        </w:rPr>
        <w:t>No TerraDS examples used, so structural similarity to real-world patterns is minimal.</w:t>
      </w:r>
    </w:p>
    <w:p>
      <w:pPr>
        <w:pStyle w:val="ListBullet"/>
        <w:spacing w:before="20" w:after="20"/>
      </w:pPr>
      <w:r>
        <w:rPr>
          <w:rFonts w:ascii="Calibri" w:hAnsi="Calibri"/>
          <w:b/>
          <w:sz w:val="20"/>
        </w:rPr>
        <w:t xml:space="preserve">Final Weighted Score (91.91 / Rank 9): </w:t>
      </w:r>
      <w:r>
        <w:rPr>
          <w:rFonts w:ascii="Calibri" w:hAnsi="Calibri"/>
          <w:sz w:val="20"/>
        </w:rPr>
        <w:t>Weakest overall score, as expected. This establishes the performance floor for the study.</w:t>
      </w:r>
    </w:p>
    <w:p>
      <w:pPr>
        <w:spacing w:before="120" w:after="40"/>
      </w:pPr>
      <w:r>
        <w:rPr>
          <w:rFonts w:ascii="Calibri" w:hAnsi="Calibri"/>
          <w:b/>
          <w:color w:val="2E74B5"/>
          <w:sz w:val="21"/>
        </w:rPr>
        <w:t>Advantages</w:t>
      </w:r>
    </w:p>
    <w:p>
      <w:pPr>
        <w:pStyle w:val="ListBullet"/>
        <w:spacing w:before="20" w:after="20"/>
      </w:pPr>
      <w:r>
        <w:rPr>
          <w:rFonts w:ascii="Calibri" w:hAnsi="Calibri"/>
          <w:sz w:val="20"/>
        </w:rPr>
        <w:t>Requires no external data, retrieval system, or infrastructure — completely self-contained.</w:t>
      </w:r>
    </w:p>
    <w:p>
      <w:pPr>
        <w:pStyle w:val="ListBullet"/>
        <w:spacing w:before="20" w:after="20"/>
      </w:pPr>
      <w:r>
        <w:rPr>
          <w:rFonts w:ascii="Calibri" w:hAnsi="Calibri"/>
          <w:sz w:val="20"/>
        </w:rPr>
        <w:t>Fastest experiment to execute due to minimal prompt construction overhead.</w:t>
      </w:r>
    </w:p>
    <w:p>
      <w:pPr>
        <w:pStyle w:val="ListBullet"/>
        <w:spacing w:before="20" w:after="20"/>
      </w:pPr>
      <w:r>
        <w:rPr>
          <w:rFonts w:ascii="Calibri" w:hAnsi="Calibri"/>
          <w:sz w:val="20"/>
        </w:rPr>
        <w:t>Demonstrates that LLaMA 3.3 70B has strong baseline Terraform knowledge.</w:t>
      </w:r>
    </w:p>
    <w:p>
      <w:pPr>
        <w:spacing w:before="120" w:after="40"/>
      </w:pPr>
      <w:r>
        <w:rPr>
          <w:rFonts w:ascii="Calibri" w:hAnsi="Calibri"/>
          <w:b/>
          <w:color w:val="2E74B5"/>
          <w:sz w:val="21"/>
        </w:rPr>
        <w:t>Disadvantages</w:t>
      </w:r>
    </w:p>
    <w:p>
      <w:pPr>
        <w:pStyle w:val="ListBullet"/>
        <w:spacing w:before="20" w:after="20"/>
      </w:pPr>
      <w:r>
        <w:rPr>
          <w:rFonts w:ascii="Calibri" w:hAnsi="Calibri"/>
          <w:sz w:val="20"/>
        </w:rPr>
        <w:t>Lowest resource coverage, missing supporting resources in complex infrastructure tasks.</w:t>
      </w:r>
    </w:p>
    <w:p>
      <w:pPr>
        <w:pStyle w:val="ListBullet"/>
        <w:spacing w:before="20" w:after="20"/>
      </w:pPr>
      <w:r>
        <w:rPr>
          <w:rFonts w:ascii="Calibri" w:hAnsi="Calibri"/>
          <w:sz w:val="20"/>
        </w:rPr>
        <w:t>No security awareness — generated code may contain open SSH, public buckets, or hardcoded values.</w:t>
      </w:r>
    </w:p>
    <w:p>
      <w:pPr>
        <w:pStyle w:val="ListBullet"/>
        <w:spacing w:before="20" w:after="20"/>
      </w:pPr>
      <w:r>
        <w:rPr>
          <w:rFonts w:ascii="Calibri" w:hAnsi="Calibri"/>
          <w:sz w:val="20"/>
        </w:rPr>
        <w:t>Best-practice quality is poor; variables, tags, and modular structure are rarely included.</w:t>
      </w:r>
    </w:p>
    <w:p>
      <w:pPr>
        <w:spacing w:before="120" w:after="40"/>
      </w:pPr>
      <w:r>
        <w:rPr>
          <w:rFonts w:ascii="Calibri" w:hAnsi="Calibri"/>
          <w:b/>
          <w:color w:val="2E74B5"/>
          <w:sz w:val="21"/>
        </w:rPr>
        <w:t>Main Results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F3564"/>
          </w:tcPr>
          <w:p>
            <w:pPr>
              <w:spacing w:before="20" w:after="20"/>
              <w:jc w:val="center"/>
            </w:pPr>
            <w:r>
              <w:rPr>
                <w:rFonts w:ascii="Calibri" w:hAnsi="Calibri"/>
                <w:b/>
                <w:i w:val="0"/>
                <w:color w:val="FFFFFF"/>
                <w:sz w:val="18"/>
              </w:rPr>
              <w:t>Metric</w:t>
            </w:r>
          </w:p>
        </w:tc>
        <w:tc>
          <w:tcPr>
            <w:tcW w:type="dxa" w:w="2422"/>
            <w:shd w:val="clear" w:color="auto" w:fill="1F3564"/>
          </w:tcPr>
          <w:p>
            <w:pPr>
              <w:spacing w:before="20" w:after="20"/>
              <w:jc w:val="center"/>
            </w:pPr>
            <w:r>
              <w:rPr>
                <w:rFonts w:ascii="Calibri" w:hAnsi="Calibri"/>
                <w:b/>
                <w:i w:val="0"/>
                <w:color w:val="FFFFFF"/>
                <w:sz w:val="18"/>
              </w:rPr>
              <w:t>Value</w:t>
            </w:r>
          </w:p>
        </w:tc>
        <w:tc>
          <w:tcPr>
            <w:tcW w:type="dxa" w:w="2422"/>
            <w:shd w:val="clear" w:color="auto" w:fill="1F3564"/>
          </w:tcPr>
          <w:p>
            <w:pPr>
              <w:spacing w:before="20" w:after="20"/>
              <w:jc w:val="center"/>
            </w:pPr>
            <w:r>
              <w:rPr>
                <w:rFonts w:ascii="Calibri" w:hAnsi="Calibri"/>
                <w:b/>
                <w:i w:val="0"/>
                <w:color w:val="FFFFFF"/>
                <w:sz w:val="18"/>
              </w:rPr>
              <w:t>Direction</w:t>
            </w:r>
          </w:p>
        </w:tc>
        <w:tc>
          <w:tcPr>
            <w:tcW w:type="dxa" w:w="2422"/>
            <w:shd w:val="clear" w:color="auto" w:fill="1F3564"/>
          </w:tcPr>
          <w:p>
            <w:pPr>
              <w:spacing w:before="20" w:after="20"/>
              <w:jc w:val="center"/>
            </w:pPr>
            <w:r>
              <w:rPr>
                <w:rFonts w:ascii="Calibri" w:hAnsi="Calibri"/>
                <w:b/>
                <w:i w:val="0"/>
                <w:color w:val="FFFFFF"/>
                <w:sz w:val="18"/>
              </w:rPr>
              <w:t>Status</w:t>
            </w:r>
          </w:p>
        </w:tc>
      </w:tr>
      <w:tr>
        <w:tc>
          <w:tcPr>
            <w:tcW w:type="dxa" w:w="2422"/>
            <w:shd w:val="clear" w:color="auto" w:fill="BDD7EE"/>
          </w:tcPr>
          <w:p>
            <w:pPr>
              <w:spacing w:before="20" w:after="20"/>
              <w:jc w:val="left"/>
            </w:pPr>
            <w:r>
              <w:rPr>
                <w:rFonts w:ascii="Calibri" w:hAnsi="Calibri"/>
                <w:b w:val="0"/>
                <w:i w:val="0"/>
                <w:sz w:val="18"/>
              </w:rPr>
              <w:t>HCL Syntax Validity %</w:t>
            </w:r>
          </w:p>
        </w:tc>
        <w:tc>
          <w:tcPr>
            <w:tcW w:type="dxa" w:w="2422"/>
            <w:shd w:val="clear" w:color="auto" w:fill="BDD7EE"/>
          </w:tcPr>
          <w:p>
            <w:pPr>
              <w:spacing w:before="20" w:after="20"/>
              <w:jc w:val="center"/>
            </w:pPr>
            <w:r>
              <w:rPr>
                <w:rFonts w:ascii="Calibri" w:hAnsi="Calibri"/>
                <w:b w:val="0"/>
                <w:i w:val="0"/>
                <w:sz w:val="18"/>
              </w:rPr>
              <w:t>99.67%</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Terraform Format Pass %</w:t>
            </w:r>
          </w:p>
        </w:tc>
        <w:tc>
          <w:tcPr>
            <w:tcW w:type="dxa" w:w="2422"/>
            <w:shd w:val="clear" w:color="auto" w:fill="BDD7EE"/>
          </w:tcPr>
          <w:p>
            <w:pPr>
              <w:spacing w:before="20" w:after="20"/>
              <w:jc w:val="center"/>
            </w:pPr>
            <w:r>
              <w:rPr>
                <w:rFonts w:ascii="Calibri" w:hAnsi="Calibri"/>
                <w:b w:val="0"/>
                <w:i w:val="0"/>
                <w:sz w:val="18"/>
              </w:rPr>
              <w:t>100.00%</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Terraform Validation Pass %</w:t>
            </w:r>
          </w:p>
        </w:tc>
        <w:tc>
          <w:tcPr>
            <w:tcW w:type="dxa" w:w="2422"/>
            <w:shd w:val="clear" w:color="auto" w:fill="BDD7EE"/>
          </w:tcPr>
          <w:p>
            <w:pPr>
              <w:spacing w:before="20" w:after="20"/>
              <w:jc w:val="center"/>
            </w:pPr>
            <w:r>
              <w:rPr>
                <w:rFonts w:ascii="Calibri" w:hAnsi="Calibri"/>
                <w:b w:val="0"/>
                <w:i w:val="0"/>
                <w:sz w:val="18"/>
              </w:rPr>
              <w:t>99.67%</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Provider Correctness %</w:t>
            </w:r>
          </w:p>
        </w:tc>
        <w:tc>
          <w:tcPr>
            <w:tcW w:type="dxa" w:w="2422"/>
            <w:shd w:val="clear" w:color="auto" w:fill="BDD7EE"/>
          </w:tcPr>
          <w:p>
            <w:pPr>
              <w:spacing w:before="20" w:after="20"/>
              <w:jc w:val="center"/>
            </w:pPr>
            <w:r>
              <w:rPr>
                <w:rFonts w:ascii="Calibri" w:hAnsi="Calibri"/>
                <w:b w:val="0"/>
                <w:i w:val="0"/>
                <w:sz w:val="18"/>
              </w:rPr>
              <w:t>100.00%</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F2F2F2"/>
          </w:tcPr>
          <w:p>
            <w:pPr>
              <w:spacing w:before="20" w:after="20"/>
              <w:jc w:val="left"/>
            </w:pPr>
            <w:r>
              <w:rPr>
                <w:rFonts w:ascii="Calibri" w:hAnsi="Calibri"/>
                <w:b w:val="0"/>
                <w:i w:val="0"/>
                <w:sz w:val="18"/>
              </w:rPr>
              <w:t>Resource Coverage %</w:t>
            </w:r>
          </w:p>
        </w:tc>
        <w:tc>
          <w:tcPr>
            <w:tcW w:type="dxa" w:w="2422"/>
            <w:shd w:val="clear" w:color="auto" w:fill="F2F2F2"/>
          </w:tcPr>
          <w:p>
            <w:pPr>
              <w:spacing w:before="20" w:after="20"/>
              <w:jc w:val="center"/>
            </w:pPr>
            <w:r>
              <w:rPr>
                <w:rFonts w:ascii="Calibri" w:hAnsi="Calibri"/>
                <w:b w:val="0"/>
                <w:i w:val="0"/>
                <w:sz w:val="18"/>
              </w:rPr>
              <w:t>88.67%</w:t>
            </w:r>
          </w:p>
        </w:tc>
        <w:tc>
          <w:tcPr>
            <w:tcW w:type="dxa" w:w="2422"/>
            <w:shd w:val="clear" w:color="auto" w:fill="F2F2F2"/>
          </w:tcPr>
          <w:p>
            <w:pPr>
              <w:spacing w:before="20" w:after="20"/>
              <w:jc w:val="left"/>
            </w:pPr>
            <w:r>
              <w:rPr>
                <w:rFonts w:ascii="Calibri" w:hAnsi="Calibri"/>
                <w:b w:val="0"/>
                <w:i w:val="0"/>
                <w:sz w:val="18"/>
              </w:rPr>
              <w:t>Higher is better</w:t>
            </w:r>
          </w:p>
        </w:tc>
        <w:tc>
          <w:tcPr>
            <w:tcW w:type="dxa" w:w="2422"/>
            <w:shd w:val="clear" w:color="auto" w:fill="F2F2F2"/>
          </w:tcPr>
          <w:p>
            <w:pPr>
              <w:spacing w:before="20" w:after="20"/>
              <w:jc w:val="center"/>
            </w:pPr>
            <w:r>
              <w:rPr>
                <w:rFonts w:ascii="Calibri" w:hAnsi="Calibri"/>
                <w:b/>
                <w:i w:val="0"/>
                <w:color w:val="404040"/>
                <w:sz w:val="18"/>
              </w:rPr>
              <w:t>~</w:t>
            </w:r>
          </w:p>
        </w:tc>
      </w:tr>
      <w:tr>
        <w:tc>
          <w:tcPr>
            <w:tcW w:type="dxa" w:w="2422"/>
            <w:shd w:val="clear" w:color="auto" w:fill="BDD7EE"/>
          </w:tcPr>
          <w:p>
            <w:pPr>
              <w:spacing w:before="20" w:after="20"/>
              <w:jc w:val="left"/>
            </w:pPr>
            <w:r>
              <w:rPr>
                <w:rFonts w:ascii="Calibri" w:hAnsi="Calibri"/>
                <w:b w:val="0"/>
                <w:i w:val="0"/>
                <w:sz w:val="18"/>
              </w:rPr>
              <w:t>Dependency Score %</w:t>
            </w:r>
          </w:p>
        </w:tc>
        <w:tc>
          <w:tcPr>
            <w:tcW w:type="dxa" w:w="2422"/>
            <w:shd w:val="clear" w:color="auto" w:fill="BDD7EE"/>
          </w:tcPr>
          <w:p>
            <w:pPr>
              <w:spacing w:before="20" w:after="20"/>
              <w:jc w:val="center"/>
            </w:pPr>
            <w:r>
              <w:rPr>
                <w:rFonts w:ascii="Calibri" w:hAnsi="Calibri"/>
                <w:b w:val="0"/>
                <w:i w:val="0"/>
                <w:sz w:val="18"/>
              </w:rPr>
              <w:t>98.00%</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FFCCCC"/>
          </w:tcPr>
          <w:p>
            <w:pPr>
              <w:spacing w:before="20" w:after="20"/>
              <w:jc w:val="left"/>
            </w:pPr>
            <w:r>
              <w:rPr>
                <w:rFonts w:ascii="Calibri" w:hAnsi="Calibri"/>
                <w:b w:val="0"/>
                <w:i w:val="0"/>
                <w:sz w:val="18"/>
              </w:rPr>
              <w:t>Security Issues (avg)</w:t>
            </w:r>
          </w:p>
        </w:tc>
        <w:tc>
          <w:tcPr>
            <w:tcW w:type="dxa" w:w="2422"/>
            <w:shd w:val="clear" w:color="auto" w:fill="FFCCCC"/>
          </w:tcPr>
          <w:p>
            <w:pPr>
              <w:spacing w:before="20" w:after="20"/>
              <w:jc w:val="center"/>
            </w:pPr>
            <w:r>
              <w:rPr>
                <w:rFonts w:ascii="Calibri" w:hAnsi="Calibri"/>
                <w:b w:val="0"/>
                <w:i w:val="0"/>
                <w:sz w:val="18"/>
              </w:rPr>
              <w:t>0.2133</w:t>
            </w:r>
          </w:p>
        </w:tc>
        <w:tc>
          <w:tcPr>
            <w:tcW w:type="dxa" w:w="2422"/>
            <w:shd w:val="clear" w:color="auto" w:fill="FFCCCC"/>
          </w:tcPr>
          <w:p>
            <w:pPr>
              <w:spacing w:before="20" w:after="20"/>
              <w:jc w:val="left"/>
            </w:pPr>
            <w:r>
              <w:rPr>
                <w:rFonts w:ascii="Calibri" w:hAnsi="Calibri"/>
                <w:b w:val="0"/>
                <w:i w:val="0"/>
                <w:sz w:val="18"/>
              </w:rPr>
              <w:t>Lower is better</w:t>
            </w:r>
          </w:p>
        </w:tc>
        <w:tc>
          <w:tcPr>
            <w:tcW w:type="dxa" w:w="2422"/>
            <w:shd w:val="clear" w:color="auto" w:fill="FFCCCC"/>
          </w:tcPr>
          <w:p>
            <w:pPr>
              <w:spacing w:before="20" w:after="20"/>
              <w:jc w:val="center"/>
            </w:pPr>
            <w:r>
              <w:rPr>
                <w:rFonts w:ascii="Calibri" w:hAnsi="Calibri"/>
                <w:b/>
                <w:i w:val="0"/>
                <w:color w:val="FF0000"/>
                <w:sz w:val="18"/>
              </w:rPr>
              <w:t>!</w:t>
            </w:r>
          </w:p>
        </w:tc>
      </w:tr>
      <w:tr>
        <w:tc>
          <w:tcPr>
            <w:tcW w:type="dxa" w:w="2422"/>
            <w:shd w:val="clear" w:color="auto" w:fill="FFFFFF"/>
          </w:tcPr>
          <w:p>
            <w:pPr>
              <w:spacing w:before="20" w:after="20"/>
              <w:jc w:val="left"/>
            </w:pPr>
            <w:r>
              <w:rPr>
                <w:rFonts w:ascii="Calibri" w:hAnsi="Calibri"/>
                <w:b w:val="0"/>
                <w:i w:val="0"/>
                <w:sz w:val="18"/>
              </w:rPr>
              <w:t>Hardcoded Secrets (avg)</w:t>
            </w:r>
          </w:p>
        </w:tc>
        <w:tc>
          <w:tcPr>
            <w:tcW w:type="dxa" w:w="2422"/>
            <w:shd w:val="clear" w:color="auto" w:fill="FFFFFF"/>
          </w:tcPr>
          <w:p>
            <w:pPr>
              <w:spacing w:before="20" w:after="20"/>
              <w:jc w:val="center"/>
            </w:pPr>
            <w:r>
              <w:rPr>
                <w:rFonts w:ascii="Calibri" w:hAnsi="Calibri"/>
                <w:b w:val="0"/>
                <w:i w:val="0"/>
                <w:sz w:val="18"/>
              </w:rPr>
              <w:t>0.0100</w:t>
            </w:r>
          </w:p>
        </w:tc>
        <w:tc>
          <w:tcPr>
            <w:tcW w:type="dxa" w:w="2422"/>
            <w:shd w:val="clear" w:color="auto" w:fill="FFFFFF"/>
          </w:tcPr>
          <w:p>
            <w:pPr>
              <w:spacing w:before="20" w:after="20"/>
              <w:jc w:val="left"/>
            </w:pPr>
            <w:r>
              <w:rPr>
                <w:rFonts w:ascii="Calibri" w:hAnsi="Calibri"/>
                <w:b w:val="0"/>
                <w:i w:val="0"/>
                <w:sz w:val="18"/>
              </w:rPr>
              <w:t>Lower is better</w:t>
            </w:r>
          </w:p>
        </w:tc>
        <w:tc>
          <w:tcPr>
            <w:tcW w:type="dxa" w:w="2422"/>
            <w:shd w:val="clear" w:color="auto" w:fill="FFFFFF"/>
          </w:tcPr>
          <w:p>
            <w:pPr>
              <w:spacing w:before="20" w:after="20"/>
              <w:jc w:val="center"/>
            </w:pPr>
            <w:r>
              <w:rPr>
                <w:rFonts w:ascii="Calibri" w:hAnsi="Calibri"/>
                <w:b/>
                <w:i w:val="0"/>
                <w:color w:val="404040"/>
                <w:sz w:val="18"/>
              </w:rPr>
              <w:t>~</w:t>
            </w:r>
          </w:p>
        </w:tc>
      </w:tr>
      <w:tr>
        <w:tc>
          <w:tcPr>
            <w:tcW w:type="dxa" w:w="2422"/>
            <w:shd w:val="clear" w:color="auto" w:fill="FFCCCC"/>
          </w:tcPr>
          <w:p>
            <w:pPr>
              <w:spacing w:before="20" w:after="20"/>
              <w:jc w:val="left"/>
            </w:pPr>
            <w:r>
              <w:rPr>
                <w:rFonts w:ascii="Calibri" w:hAnsi="Calibri"/>
                <w:b w:val="0"/>
                <w:i w:val="0"/>
                <w:sz w:val="18"/>
              </w:rPr>
              <w:t>Best-Practice Score %</w:t>
            </w:r>
          </w:p>
        </w:tc>
        <w:tc>
          <w:tcPr>
            <w:tcW w:type="dxa" w:w="2422"/>
            <w:shd w:val="clear" w:color="auto" w:fill="FFCCCC"/>
          </w:tcPr>
          <w:p>
            <w:pPr>
              <w:spacing w:before="20" w:after="20"/>
              <w:jc w:val="center"/>
            </w:pPr>
            <w:r>
              <w:rPr>
                <w:rFonts w:ascii="Calibri" w:hAnsi="Calibri"/>
                <w:b w:val="0"/>
                <w:i w:val="0"/>
                <w:sz w:val="18"/>
              </w:rPr>
              <w:t>41.33%</w:t>
            </w:r>
          </w:p>
        </w:tc>
        <w:tc>
          <w:tcPr>
            <w:tcW w:type="dxa" w:w="2422"/>
            <w:shd w:val="clear" w:color="auto" w:fill="FFCCCC"/>
          </w:tcPr>
          <w:p>
            <w:pPr>
              <w:spacing w:before="20" w:after="20"/>
              <w:jc w:val="left"/>
            </w:pPr>
            <w:r>
              <w:rPr>
                <w:rFonts w:ascii="Calibri" w:hAnsi="Calibri"/>
                <w:b w:val="0"/>
                <w:i w:val="0"/>
                <w:sz w:val="18"/>
              </w:rPr>
              <w:t>Higher is better</w:t>
            </w:r>
          </w:p>
        </w:tc>
        <w:tc>
          <w:tcPr>
            <w:tcW w:type="dxa" w:w="2422"/>
            <w:shd w:val="clear" w:color="auto" w:fill="FFCCCC"/>
          </w:tcPr>
          <w:p>
            <w:pPr>
              <w:spacing w:before="20" w:after="20"/>
              <w:jc w:val="center"/>
            </w:pPr>
            <w:r>
              <w:rPr>
                <w:rFonts w:ascii="Calibri" w:hAnsi="Calibri"/>
                <w:b/>
                <w:i w:val="0"/>
                <w:color w:val="FF0000"/>
                <w:sz w:val="18"/>
              </w:rPr>
              <w:t>!</w:t>
            </w:r>
          </w:p>
        </w:tc>
      </w:tr>
      <w:tr>
        <w:tc>
          <w:tcPr>
            <w:tcW w:type="dxa" w:w="2422"/>
            <w:shd w:val="clear" w:color="auto" w:fill="FFFFFF"/>
          </w:tcPr>
          <w:p>
            <w:pPr>
              <w:spacing w:before="20" w:after="20"/>
              <w:jc w:val="left"/>
            </w:pPr>
            <w:r>
              <w:rPr>
                <w:rFonts w:ascii="Calibri" w:hAnsi="Calibri"/>
                <w:b w:val="0"/>
                <w:i w:val="0"/>
                <w:sz w:val="18"/>
              </w:rPr>
              <w:t>Code Similarity %</w:t>
            </w:r>
          </w:p>
        </w:tc>
        <w:tc>
          <w:tcPr>
            <w:tcW w:type="dxa" w:w="2422"/>
            <w:shd w:val="clear" w:color="auto" w:fill="FFFFFF"/>
          </w:tcPr>
          <w:p>
            <w:pPr>
              <w:spacing w:before="20" w:after="20"/>
              <w:jc w:val="center"/>
            </w:pPr>
            <w:r>
              <w:rPr>
                <w:rFonts w:ascii="Calibri" w:hAnsi="Calibri"/>
                <w:b w:val="0"/>
                <w:i w:val="0"/>
                <w:sz w:val="18"/>
              </w:rPr>
              <w:t>0.00%</w:t>
            </w:r>
          </w:p>
        </w:tc>
        <w:tc>
          <w:tcPr>
            <w:tcW w:type="dxa" w:w="2422"/>
            <w:shd w:val="clear" w:color="auto" w:fill="FFFFFF"/>
          </w:tcPr>
          <w:p>
            <w:pPr>
              <w:spacing w:before="20" w:after="20"/>
              <w:jc w:val="left"/>
            </w:pPr>
            <w:r>
              <w:rPr>
                <w:rFonts w:ascii="Calibri" w:hAnsi="Calibri"/>
                <w:b w:val="0"/>
                <w:i w:val="0"/>
                <w:sz w:val="18"/>
              </w:rPr>
              <w:t>Higher is better (informational)</w:t>
            </w:r>
          </w:p>
        </w:tc>
        <w:tc>
          <w:tcPr>
            <w:tcW w:type="dxa" w:w="2422"/>
            <w:shd w:val="clear" w:color="auto" w:fill="FFFFFF"/>
          </w:tcPr>
          <w:p>
            <w:pPr>
              <w:spacing w:before="20" w:after="20"/>
              <w:jc w:val="center"/>
            </w:pPr>
            <w:r>
              <w:rPr>
                <w:rFonts w:ascii="Calibri" w:hAnsi="Calibri"/>
                <w:b/>
                <w:i w:val="0"/>
                <w:color w:val="404040"/>
                <w:sz w:val="18"/>
              </w:rPr>
              <w:t>~</w:t>
            </w:r>
          </w:p>
        </w:tc>
      </w:tr>
      <w:tr>
        <w:tc>
          <w:tcPr>
            <w:tcW w:type="dxa" w:w="2422"/>
            <w:shd w:val="clear" w:color="auto" w:fill="FFCCCC"/>
          </w:tcPr>
          <w:p>
            <w:pPr>
              <w:spacing w:before="20" w:after="20"/>
              <w:jc w:val="left"/>
            </w:pPr>
            <w:r>
              <w:rPr>
                <w:rFonts w:ascii="Calibri" w:hAnsi="Calibri"/>
                <w:b w:val="0"/>
                <w:i w:val="0"/>
                <w:sz w:val="18"/>
              </w:rPr>
              <w:t>Composite Score /100</w:t>
            </w:r>
          </w:p>
        </w:tc>
        <w:tc>
          <w:tcPr>
            <w:tcW w:type="dxa" w:w="2422"/>
            <w:shd w:val="clear" w:color="auto" w:fill="FFCCCC"/>
          </w:tcPr>
          <w:p>
            <w:pPr>
              <w:spacing w:before="20" w:after="20"/>
              <w:jc w:val="center"/>
            </w:pPr>
            <w:r>
              <w:rPr>
                <w:rFonts w:ascii="Calibri" w:hAnsi="Calibri"/>
                <w:b w:val="0"/>
                <w:i w:val="0"/>
                <w:sz w:val="18"/>
              </w:rPr>
              <w:t>91.91</w:t>
            </w:r>
          </w:p>
        </w:tc>
        <w:tc>
          <w:tcPr>
            <w:tcW w:type="dxa" w:w="2422"/>
            <w:shd w:val="clear" w:color="auto" w:fill="FFCCCC"/>
          </w:tcPr>
          <w:p>
            <w:pPr>
              <w:spacing w:before="20" w:after="20"/>
              <w:jc w:val="left"/>
            </w:pPr>
            <w:r>
              <w:rPr>
                <w:rFonts w:ascii="Calibri" w:hAnsi="Calibri"/>
                <w:b w:val="0"/>
                <w:i w:val="0"/>
                <w:sz w:val="18"/>
              </w:rPr>
              <w:t>Higher is better</w:t>
            </w:r>
          </w:p>
        </w:tc>
        <w:tc>
          <w:tcPr>
            <w:tcW w:type="dxa" w:w="2422"/>
            <w:shd w:val="clear" w:color="auto" w:fill="FFCCCC"/>
          </w:tcPr>
          <w:p>
            <w:pPr>
              <w:spacing w:before="20" w:after="20"/>
              <w:jc w:val="center"/>
            </w:pPr>
            <w:r>
              <w:rPr>
                <w:rFonts w:ascii="Calibri" w:hAnsi="Calibri"/>
                <w:b/>
                <w:i w:val="0"/>
                <w:color w:val="FF0000"/>
                <w:sz w:val="18"/>
              </w:rPr>
              <w:t>!</w:t>
            </w:r>
          </w:p>
        </w:tc>
      </w:tr>
      <w:tr>
        <w:tc>
          <w:tcPr>
            <w:tcW w:type="dxa" w:w="2422"/>
            <w:shd w:val="clear" w:color="auto" w:fill="FFFFFF"/>
          </w:tcPr>
          <w:p>
            <w:pPr>
              <w:spacing w:before="20" w:after="20"/>
              <w:jc w:val="left"/>
            </w:pPr>
            <w:r>
              <w:rPr>
                <w:rFonts w:ascii="Calibri" w:hAnsi="Calibri"/>
                <w:b w:val="0"/>
                <w:i w:val="0"/>
                <w:sz w:val="18"/>
              </w:rPr>
              <w:t>Final Rank</w:t>
            </w:r>
          </w:p>
        </w:tc>
        <w:tc>
          <w:tcPr>
            <w:tcW w:type="dxa" w:w="2422"/>
            <w:shd w:val="clear" w:color="auto" w:fill="FFFFFF"/>
          </w:tcPr>
          <w:p>
            <w:pPr>
              <w:spacing w:before="20" w:after="20"/>
              <w:jc w:val="center"/>
            </w:pPr>
            <w:r>
              <w:rPr>
                <w:rFonts w:ascii="Calibri" w:hAnsi="Calibri"/>
                <w:b w:val="0"/>
                <w:i w:val="0"/>
                <w:sz w:val="18"/>
              </w:rPr>
              <w:t>9 / 9</w:t>
            </w:r>
          </w:p>
        </w:tc>
        <w:tc>
          <w:tcPr>
            <w:tcW w:type="dxa" w:w="2422"/>
            <w:shd w:val="clear" w:color="auto" w:fill="FFFFFF"/>
          </w:tcPr>
          <w:p>
            <w:pPr>
              <w:spacing w:before="20" w:after="20"/>
              <w:jc w:val="left"/>
            </w:pPr>
            <w:r>
              <w:rPr>
                <w:rFonts w:ascii="Calibri" w:hAnsi="Calibri"/>
                <w:b w:val="0"/>
                <w:i w:val="0"/>
                <w:sz w:val="18"/>
              </w:rPr>
              <w:t>Lower is better</w:t>
            </w:r>
          </w:p>
        </w:tc>
        <w:tc>
          <w:tcPr>
            <w:tcW w:type="dxa" w:w="2422"/>
            <w:shd w:val="clear" w:color="auto" w:fill="FFFFFF"/>
          </w:tcPr>
          <w:p>
            <w:pPr>
              <w:spacing w:before="20" w:after="20"/>
              <w:jc w:val="center"/>
            </w:pPr>
            <w:r>
              <w:rPr>
                <w:rFonts w:ascii="Calibri" w:hAnsi="Calibri"/>
                <w:b/>
                <w:i w:val="0"/>
                <w:color w:val="404040"/>
                <w:sz w:val="18"/>
              </w:rPr>
              <w:t>~</w:t>
            </w:r>
          </w:p>
        </w:tc>
      </w:tr>
    </w:tbl>
    <w:p>
      <w:r>
        <w:br w:type="page"/>
      </w:r>
    </w:p>
    <w:p>
      <w:pPr>
        <w:pStyle w:val="Heading2"/>
      </w:pPr>
      <w:r>
        <w:rPr>
          <w:color w:val="1F3564"/>
        </w:rPr>
        <w:t>E02 – Provider-Specific Prompting</w:t>
      </w:r>
    </w:p>
    <w:p>
      <w:pPr>
        <w:spacing w:before="120" w:after="40"/>
      </w:pPr>
      <w:r>
        <w:rPr>
          <w:rFonts w:ascii="Calibri" w:hAnsi="Calibri"/>
          <w:b/>
          <w:color w:val="2E74B5"/>
          <w:sz w:val="21"/>
        </w:rPr>
        <w:t>Goal</w:t>
      </w:r>
    </w:p>
    <w:p>
      <w:pPr>
        <w:spacing w:before="40" w:after="40"/>
      </w:pPr>
      <w:r>
        <w:rPr>
          <w:rFonts w:ascii="Calibri" w:hAnsi="Calibri"/>
          <w:b w:val="0"/>
          <w:i w:val="0"/>
          <w:sz w:val="21"/>
        </w:rPr>
        <w:t>This experiment evaluates whether provider-specific prompt instructions improve Terraform code generation accuracy for AWS, Azure, and GCP. Separate prompt templates explicitly instruct the model to use only the correct provider resources and avoid mixing providers in multi-cloud scenarios.</w:t>
      </w:r>
    </w:p>
    <w:p>
      <w:pPr>
        <w:spacing w:before="40" w:after="40"/>
      </w:pPr>
      <w:r>
        <w:rPr>
          <w:rFonts w:ascii="Calibri" w:hAnsi="Calibri"/>
          <w:b/>
          <w:i w:val="0"/>
          <w:sz w:val="20"/>
        </w:rPr>
        <w:t>Primary Evaluation Focus: Provider Correctness, HCL Syntax Validity, Terraform Validation</w:t>
      </w:r>
    </w:p>
    <w:p>
      <w:pPr>
        <w:spacing w:before="120" w:after="40"/>
      </w:pPr>
      <w:r>
        <w:rPr>
          <w:rFonts w:ascii="Calibri" w:hAnsi="Calibri"/>
          <w:b/>
          <w:color w:val="2E74B5"/>
          <w:sz w:val="21"/>
        </w:rPr>
        <w:t>Implementation Steps</w:t>
      </w:r>
    </w:p>
    <w:p>
      <w:pPr>
        <w:pStyle w:val="ListBullet"/>
        <w:spacing w:before="20" w:after="20"/>
      </w:pPr>
      <w:r>
        <w:rPr>
          <w:rFonts w:ascii="Calibri" w:hAnsi="Calibri"/>
          <w:sz w:val="20"/>
        </w:rPr>
        <w:t>Three provider-specific prompt templates were created: one for AWS (aws_ resources only), one for Azure (azurerm_ resources only), and one for GCP (google_ resources only).</w:t>
      </w:r>
    </w:p>
    <w:p>
      <w:pPr>
        <w:pStyle w:val="ListBullet"/>
        <w:spacing w:before="20" w:after="20"/>
      </w:pPr>
      <w:r>
        <w:rPr>
          <w:rFonts w:ascii="Calibri" w:hAnsi="Calibri"/>
          <w:sz w:val="20"/>
        </w:rPr>
        <w:t>Each test prompt was matched to its cloud provider and the corresponding template was applied before the generation instruction.</w:t>
      </w:r>
    </w:p>
    <w:p>
      <w:pPr>
        <w:pStyle w:val="ListBullet"/>
        <w:spacing w:before="20" w:after="20"/>
      </w:pPr>
      <w:r>
        <w:rPr>
          <w:rFonts w:ascii="Calibri" w:hAnsi="Calibri"/>
          <w:sz w:val="20"/>
        </w:rPr>
        <w:t>The augmented prompt was sent to LLaMA 3.3 70B without any TerraDS examples or retrieval context.</w:t>
      </w:r>
    </w:p>
    <w:p>
      <w:pPr>
        <w:pStyle w:val="ListBullet"/>
        <w:spacing w:before="20" w:after="20"/>
      </w:pPr>
      <w:r>
        <w:rPr>
          <w:rFonts w:ascii="Calibri" w:hAnsi="Calibri"/>
          <w:sz w:val="20"/>
        </w:rPr>
        <w:t>Generated code was evaluated using all ten offline metrics.</w:t>
      </w:r>
    </w:p>
    <w:p>
      <w:pPr>
        <w:pStyle w:val="ListBullet"/>
        <w:spacing w:before="20" w:after="20"/>
      </w:pPr>
      <w:r>
        <w:rPr>
          <w:rFonts w:ascii="Calibri" w:hAnsi="Calibri"/>
          <w:sz w:val="20"/>
        </w:rPr>
        <w:t>Results were stored in E02_ProviderSpecific_results.json and compared against the E01 baseline.</w:t>
      </w:r>
    </w:p>
    <w:p>
      <w:pPr>
        <w:spacing w:before="120" w:after="40"/>
      </w:pPr>
      <w:r>
        <w:rPr>
          <w:rFonts w:ascii="Calibri" w:hAnsi="Calibri"/>
          <w:b/>
          <w:color w:val="2E74B5"/>
          <w:sz w:val="21"/>
        </w:rPr>
        <w:t>Results Discussion</w:t>
      </w:r>
    </w:p>
    <w:p>
      <w:pPr>
        <w:pStyle w:val="ListBullet"/>
        <w:spacing w:before="20" w:after="20"/>
      </w:pPr>
      <w:r>
        <w:rPr>
          <w:rFonts w:ascii="Calibri" w:hAnsi="Calibri"/>
          <w:b/>
          <w:sz w:val="20"/>
        </w:rPr>
        <w:t xml:space="preserve">HCL Syntax Validity (100%): </w:t>
      </w:r>
      <w:r>
        <w:rPr>
          <w:rFonts w:ascii="Calibri" w:hAnsi="Calibri"/>
          <w:sz w:val="20"/>
        </w:rPr>
        <w:t>Perfect syntax validity — provider-specific framing helps the model maintain structural discipline.</w:t>
      </w:r>
    </w:p>
    <w:p>
      <w:pPr>
        <w:pStyle w:val="ListBullet"/>
        <w:spacing w:before="20" w:after="20"/>
      </w:pPr>
      <w:r>
        <w:rPr>
          <w:rFonts w:ascii="Calibri" w:hAnsi="Calibri"/>
          <w:b/>
          <w:sz w:val="20"/>
        </w:rPr>
        <w:t xml:space="preserve">Terraform Format Pass (100%): </w:t>
      </w:r>
      <w:r>
        <w:rPr>
          <w:rFonts w:ascii="Calibri" w:hAnsi="Calibri"/>
          <w:sz w:val="20"/>
        </w:rPr>
        <w:t>All outputs passed formatting, consistent with baseline.</w:t>
      </w:r>
    </w:p>
    <w:p>
      <w:pPr>
        <w:pStyle w:val="ListBullet"/>
        <w:spacing w:before="20" w:after="20"/>
      </w:pPr>
      <w:r>
        <w:rPr>
          <w:rFonts w:ascii="Calibri" w:hAnsi="Calibri"/>
          <w:b/>
          <w:sz w:val="20"/>
        </w:rPr>
        <w:t xml:space="preserve">Terraform Validation Pass (100%): </w:t>
      </w:r>
      <w:r>
        <w:rPr>
          <w:rFonts w:ascii="Calibri" w:hAnsi="Calibri"/>
          <w:sz w:val="20"/>
        </w:rPr>
        <w:t>Improved from 99.67% to 100% — provider-specific framing eliminates the small number of invalid configurations seen in E01.</w:t>
      </w:r>
    </w:p>
    <w:p>
      <w:pPr>
        <w:pStyle w:val="ListBullet"/>
        <w:spacing w:before="20" w:after="20"/>
      </w:pPr>
      <w:r>
        <w:rPr>
          <w:rFonts w:ascii="Calibri" w:hAnsi="Calibri"/>
          <w:b/>
          <w:sz w:val="20"/>
        </w:rPr>
        <w:t xml:space="preserve">Provider Correctness (100%): </w:t>
      </w:r>
      <w:r>
        <w:rPr>
          <w:rFonts w:ascii="Calibri" w:hAnsi="Calibri"/>
          <w:sz w:val="20"/>
        </w:rPr>
        <w:t>Perfect provider correctness confirmed. However, the baseline also achieved 100%, so this improvement cannot be attributed solely to provider-specific prompting.</w:t>
      </w:r>
    </w:p>
    <w:p>
      <w:pPr>
        <w:pStyle w:val="ListBullet"/>
        <w:spacing w:before="20" w:after="20"/>
      </w:pPr>
      <w:r>
        <w:rPr>
          <w:rFonts w:ascii="Calibri" w:hAnsi="Calibri"/>
          <w:b/>
          <w:sz w:val="20"/>
        </w:rPr>
        <w:t xml:space="preserve">Resource Coverage (89.33%): </w:t>
      </w:r>
      <w:r>
        <w:rPr>
          <w:rFonts w:ascii="Calibri" w:hAnsi="Calibri"/>
          <w:sz w:val="20"/>
        </w:rPr>
        <w:t>Marginal improvement over E01 (88.67%). Provider-specific prompting slightly increases resource inclusion but still misses supporting resources.</w:t>
      </w:r>
    </w:p>
    <w:p>
      <w:pPr>
        <w:pStyle w:val="ListBullet"/>
        <w:spacing w:before="20" w:after="20"/>
      </w:pPr>
      <w:r>
        <w:rPr>
          <w:rFonts w:ascii="Calibri" w:hAnsi="Calibri"/>
          <w:b/>
          <w:sz w:val="20"/>
        </w:rPr>
        <w:t xml:space="preserve">Dependency Score (97.28%): </w:t>
      </w:r>
      <w:r>
        <w:rPr>
          <w:rFonts w:ascii="Calibri" w:hAnsi="Calibri"/>
          <w:sz w:val="20"/>
        </w:rPr>
        <w:t>Slightly lower than E01 (98.00%) — explicit provider framing does not strengthen dependency relationships.</w:t>
      </w:r>
    </w:p>
    <w:p>
      <w:pPr>
        <w:pStyle w:val="ListBullet"/>
        <w:spacing w:before="20" w:after="20"/>
      </w:pPr>
      <w:r>
        <w:rPr>
          <w:rFonts w:ascii="Calibri" w:hAnsi="Calibri"/>
          <w:b/>
          <w:sz w:val="20"/>
        </w:rPr>
        <w:t xml:space="preserve">Security Issues (0.1733 per sample): </w:t>
      </w:r>
      <w:r>
        <w:rPr>
          <w:rFonts w:ascii="Calibri" w:hAnsi="Calibri"/>
          <w:sz w:val="20"/>
        </w:rPr>
        <w:t>Small reduction in security issues compared to E01 (0.2133), suggesting provider templates inadvertently reduce some risky defaults.</w:t>
      </w:r>
    </w:p>
    <w:p>
      <w:pPr>
        <w:pStyle w:val="ListBullet"/>
        <w:spacing w:before="20" w:after="20"/>
      </w:pPr>
      <w:r>
        <w:rPr>
          <w:rFonts w:ascii="Calibri" w:hAnsi="Calibri"/>
          <w:b/>
          <w:sz w:val="20"/>
        </w:rPr>
        <w:t xml:space="preserve">Hardcoded Secrets (0.0): </w:t>
      </w:r>
      <w:r>
        <w:rPr>
          <w:rFonts w:ascii="Calibri" w:hAnsi="Calibri"/>
          <w:sz w:val="20"/>
        </w:rPr>
        <w:t>No hardcoded secrets detected — best result in this metric across all non-repair experiments.</w:t>
      </w:r>
    </w:p>
    <w:p>
      <w:pPr>
        <w:pStyle w:val="ListBullet"/>
        <w:spacing w:before="20" w:after="20"/>
      </w:pPr>
      <w:r>
        <w:rPr>
          <w:rFonts w:ascii="Calibri" w:hAnsi="Calibri"/>
          <w:b/>
          <w:sz w:val="20"/>
        </w:rPr>
        <w:t xml:space="preserve">Best-Practice Score (40.37%): </w:t>
      </w:r>
      <w:r>
        <w:rPr>
          <w:rFonts w:ascii="Calibri" w:hAnsi="Calibri"/>
          <w:sz w:val="20"/>
        </w:rPr>
        <w:t>Slightly lower than E01, confirming that provider-specific prompting alone does not improve code organisation or variable usage.</w:t>
      </w:r>
    </w:p>
    <w:p>
      <w:pPr>
        <w:pStyle w:val="ListBullet"/>
        <w:spacing w:before="20" w:after="20"/>
      </w:pPr>
      <w:r>
        <w:rPr>
          <w:rFonts w:ascii="Calibri" w:hAnsi="Calibri"/>
          <w:b/>
          <w:sz w:val="20"/>
        </w:rPr>
        <w:t xml:space="preserve">Final Weighted Score (91.99 / Rank 8): </w:t>
      </w:r>
      <w:r>
        <w:rPr>
          <w:rFonts w:ascii="Calibri" w:hAnsi="Calibri"/>
          <w:sz w:val="20"/>
        </w:rPr>
        <w:t>Marginal gain over E01 but still second-lowest overall, showing provider instructions alone have limited impact beyond what the baseline already achieves.</w:t>
      </w:r>
    </w:p>
    <w:p>
      <w:pPr>
        <w:spacing w:before="120" w:after="40"/>
      </w:pPr>
      <w:r>
        <w:rPr>
          <w:rFonts w:ascii="Calibri" w:hAnsi="Calibri"/>
          <w:b/>
          <w:color w:val="2E74B5"/>
          <w:sz w:val="21"/>
        </w:rPr>
        <w:t>Advantages</w:t>
      </w:r>
    </w:p>
    <w:p>
      <w:pPr>
        <w:pStyle w:val="ListBullet"/>
        <w:spacing w:before="20" w:after="20"/>
      </w:pPr>
      <w:r>
        <w:rPr>
          <w:rFonts w:ascii="Calibri" w:hAnsi="Calibri"/>
          <w:sz w:val="20"/>
        </w:rPr>
        <w:t>Eliminates provider mixing errors and ensures all resources belong to the correct cloud platform.</w:t>
      </w:r>
    </w:p>
    <w:p>
      <w:pPr>
        <w:pStyle w:val="ListBullet"/>
        <w:spacing w:before="20" w:after="20"/>
      </w:pPr>
      <w:r>
        <w:rPr>
          <w:rFonts w:ascii="Calibri" w:hAnsi="Calibri"/>
          <w:sz w:val="20"/>
        </w:rPr>
        <w:t>Achieves perfect HCL syntax, format, and validation pass rates.</w:t>
      </w:r>
    </w:p>
    <w:p>
      <w:pPr>
        <w:pStyle w:val="ListBullet"/>
        <w:spacing w:before="20" w:after="20"/>
      </w:pPr>
      <w:r>
        <w:rPr>
          <w:rFonts w:ascii="Calibri" w:hAnsi="Calibri"/>
          <w:sz w:val="20"/>
        </w:rPr>
        <w:t>Zero hardcoded secrets — provider templates inadvertently suppress secret embedding.</w:t>
      </w:r>
    </w:p>
    <w:p>
      <w:pPr>
        <w:spacing w:before="120" w:after="40"/>
      </w:pPr>
      <w:r>
        <w:rPr>
          <w:rFonts w:ascii="Calibri" w:hAnsi="Calibri"/>
          <w:b/>
          <w:color w:val="2E74B5"/>
          <w:sz w:val="21"/>
        </w:rPr>
        <w:t>Disadvantages</w:t>
      </w:r>
    </w:p>
    <w:p>
      <w:pPr>
        <w:pStyle w:val="ListBullet"/>
        <w:spacing w:before="20" w:after="20"/>
      </w:pPr>
      <w:r>
        <w:rPr>
          <w:rFonts w:ascii="Calibri" w:hAnsi="Calibri"/>
          <w:sz w:val="20"/>
        </w:rPr>
        <w:t>Minimal improvement in resource coverage and dependency quality over the zero-shot baseline.</w:t>
      </w:r>
    </w:p>
    <w:p>
      <w:pPr>
        <w:pStyle w:val="ListBullet"/>
        <w:spacing w:before="20" w:after="20"/>
      </w:pPr>
      <w:r>
        <w:rPr>
          <w:rFonts w:ascii="Calibri" w:hAnsi="Calibri"/>
          <w:sz w:val="20"/>
        </w:rPr>
        <w:t>Best-practice score remains low; provider templates do not promote variable usage or modular structure.</w:t>
      </w:r>
    </w:p>
    <w:p>
      <w:pPr>
        <w:pStyle w:val="ListBullet"/>
        <w:spacing w:before="20" w:after="20"/>
      </w:pPr>
      <w:r>
        <w:rPr>
          <w:rFonts w:ascii="Calibri" w:hAnsi="Calibri"/>
          <w:sz w:val="20"/>
        </w:rPr>
        <w:t>Does not provide real-world Terraform examples, so generated code style remains generic.</w:t>
      </w:r>
    </w:p>
    <w:p>
      <w:pPr>
        <w:spacing w:before="120" w:after="40"/>
      </w:pPr>
      <w:r>
        <w:rPr>
          <w:rFonts w:ascii="Calibri" w:hAnsi="Calibri"/>
          <w:b/>
          <w:color w:val="2E74B5"/>
          <w:sz w:val="21"/>
        </w:rPr>
        <w:t>Main Results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F3564"/>
          </w:tcPr>
          <w:p>
            <w:pPr>
              <w:spacing w:before="20" w:after="20"/>
              <w:jc w:val="center"/>
            </w:pPr>
            <w:r>
              <w:rPr>
                <w:rFonts w:ascii="Calibri" w:hAnsi="Calibri"/>
                <w:b/>
                <w:i w:val="0"/>
                <w:color w:val="FFFFFF"/>
                <w:sz w:val="18"/>
              </w:rPr>
              <w:t>Metric</w:t>
            </w:r>
          </w:p>
        </w:tc>
        <w:tc>
          <w:tcPr>
            <w:tcW w:type="dxa" w:w="2422"/>
            <w:shd w:val="clear" w:color="auto" w:fill="1F3564"/>
          </w:tcPr>
          <w:p>
            <w:pPr>
              <w:spacing w:before="20" w:after="20"/>
              <w:jc w:val="center"/>
            </w:pPr>
            <w:r>
              <w:rPr>
                <w:rFonts w:ascii="Calibri" w:hAnsi="Calibri"/>
                <w:b/>
                <w:i w:val="0"/>
                <w:color w:val="FFFFFF"/>
                <w:sz w:val="18"/>
              </w:rPr>
              <w:t>Value</w:t>
            </w:r>
          </w:p>
        </w:tc>
        <w:tc>
          <w:tcPr>
            <w:tcW w:type="dxa" w:w="2422"/>
            <w:shd w:val="clear" w:color="auto" w:fill="1F3564"/>
          </w:tcPr>
          <w:p>
            <w:pPr>
              <w:spacing w:before="20" w:after="20"/>
              <w:jc w:val="center"/>
            </w:pPr>
            <w:r>
              <w:rPr>
                <w:rFonts w:ascii="Calibri" w:hAnsi="Calibri"/>
                <w:b/>
                <w:i w:val="0"/>
                <w:color w:val="FFFFFF"/>
                <w:sz w:val="18"/>
              </w:rPr>
              <w:t>Direction</w:t>
            </w:r>
          </w:p>
        </w:tc>
        <w:tc>
          <w:tcPr>
            <w:tcW w:type="dxa" w:w="2422"/>
            <w:shd w:val="clear" w:color="auto" w:fill="1F3564"/>
          </w:tcPr>
          <w:p>
            <w:pPr>
              <w:spacing w:before="20" w:after="20"/>
              <w:jc w:val="center"/>
            </w:pPr>
            <w:r>
              <w:rPr>
                <w:rFonts w:ascii="Calibri" w:hAnsi="Calibri"/>
                <w:b/>
                <w:i w:val="0"/>
                <w:color w:val="FFFFFF"/>
                <w:sz w:val="18"/>
              </w:rPr>
              <w:t>Status</w:t>
            </w:r>
          </w:p>
        </w:tc>
      </w:tr>
      <w:tr>
        <w:tc>
          <w:tcPr>
            <w:tcW w:type="dxa" w:w="2422"/>
            <w:shd w:val="clear" w:color="auto" w:fill="BDD7EE"/>
          </w:tcPr>
          <w:p>
            <w:pPr>
              <w:spacing w:before="20" w:after="20"/>
              <w:jc w:val="left"/>
            </w:pPr>
            <w:r>
              <w:rPr>
                <w:rFonts w:ascii="Calibri" w:hAnsi="Calibri"/>
                <w:b w:val="0"/>
                <w:i w:val="0"/>
                <w:sz w:val="18"/>
              </w:rPr>
              <w:t>HCL Syntax Validity %</w:t>
            </w:r>
          </w:p>
        </w:tc>
        <w:tc>
          <w:tcPr>
            <w:tcW w:type="dxa" w:w="2422"/>
            <w:shd w:val="clear" w:color="auto" w:fill="BDD7EE"/>
          </w:tcPr>
          <w:p>
            <w:pPr>
              <w:spacing w:before="20" w:after="20"/>
              <w:jc w:val="center"/>
            </w:pPr>
            <w:r>
              <w:rPr>
                <w:rFonts w:ascii="Calibri" w:hAnsi="Calibri"/>
                <w:b w:val="0"/>
                <w:i w:val="0"/>
                <w:sz w:val="18"/>
              </w:rPr>
              <w:t>100.00%</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Terraform Format Pass %</w:t>
            </w:r>
          </w:p>
        </w:tc>
        <w:tc>
          <w:tcPr>
            <w:tcW w:type="dxa" w:w="2422"/>
            <w:shd w:val="clear" w:color="auto" w:fill="BDD7EE"/>
          </w:tcPr>
          <w:p>
            <w:pPr>
              <w:spacing w:before="20" w:after="20"/>
              <w:jc w:val="center"/>
            </w:pPr>
            <w:r>
              <w:rPr>
                <w:rFonts w:ascii="Calibri" w:hAnsi="Calibri"/>
                <w:b w:val="0"/>
                <w:i w:val="0"/>
                <w:sz w:val="18"/>
              </w:rPr>
              <w:t>100.00%</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Terraform Validation Pass %</w:t>
            </w:r>
          </w:p>
        </w:tc>
        <w:tc>
          <w:tcPr>
            <w:tcW w:type="dxa" w:w="2422"/>
            <w:shd w:val="clear" w:color="auto" w:fill="BDD7EE"/>
          </w:tcPr>
          <w:p>
            <w:pPr>
              <w:spacing w:before="20" w:after="20"/>
              <w:jc w:val="center"/>
            </w:pPr>
            <w:r>
              <w:rPr>
                <w:rFonts w:ascii="Calibri" w:hAnsi="Calibri"/>
                <w:b w:val="0"/>
                <w:i w:val="0"/>
                <w:sz w:val="18"/>
              </w:rPr>
              <w:t>100.00%</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Provider Correctness %</w:t>
            </w:r>
          </w:p>
        </w:tc>
        <w:tc>
          <w:tcPr>
            <w:tcW w:type="dxa" w:w="2422"/>
            <w:shd w:val="clear" w:color="auto" w:fill="BDD7EE"/>
          </w:tcPr>
          <w:p>
            <w:pPr>
              <w:spacing w:before="20" w:after="20"/>
              <w:jc w:val="center"/>
            </w:pPr>
            <w:r>
              <w:rPr>
                <w:rFonts w:ascii="Calibri" w:hAnsi="Calibri"/>
                <w:b w:val="0"/>
                <w:i w:val="0"/>
                <w:sz w:val="18"/>
              </w:rPr>
              <w:t>100.00%</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F2F2F2"/>
          </w:tcPr>
          <w:p>
            <w:pPr>
              <w:spacing w:before="20" w:after="20"/>
              <w:jc w:val="left"/>
            </w:pPr>
            <w:r>
              <w:rPr>
                <w:rFonts w:ascii="Calibri" w:hAnsi="Calibri"/>
                <w:b w:val="0"/>
                <w:i w:val="0"/>
                <w:sz w:val="18"/>
              </w:rPr>
              <w:t>Resource Coverage %</w:t>
            </w:r>
          </w:p>
        </w:tc>
        <w:tc>
          <w:tcPr>
            <w:tcW w:type="dxa" w:w="2422"/>
            <w:shd w:val="clear" w:color="auto" w:fill="F2F2F2"/>
          </w:tcPr>
          <w:p>
            <w:pPr>
              <w:spacing w:before="20" w:after="20"/>
              <w:jc w:val="center"/>
            </w:pPr>
            <w:r>
              <w:rPr>
                <w:rFonts w:ascii="Calibri" w:hAnsi="Calibri"/>
                <w:b w:val="0"/>
                <w:i w:val="0"/>
                <w:sz w:val="18"/>
              </w:rPr>
              <w:t>89.33%</w:t>
            </w:r>
          </w:p>
        </w:tc>
        <w:tc>
          <w:tcPr>
            <w:tcW w:type="dxa" w:w="2422"/>
            <w:shd w:val="clear" w:color="auto" w:fill="F2F2F2"/>
          </w:tcPr>
          <w:p>
            <w:pPr>
              <w:spacing w:before="20" w:after="20"/>
              <w:jc w:val="left"/>
            </w:pPr>
            <w:r>
              <w:rPr>
                <w:rFonts w:ascii="Calibri" w:hAnsi="Calibri"/>
                <w:b w:val="0"/>
                <w:i w:val="0"/>
                <w:sz w:val="18"/>
              </w:rPr>
              <w:t>Higher is better</w:t>
            </w:r>
          </w:p>
        </w:tc>
        <w:tc>
          <w:tcPr>
            <w:tcW w:type="dxa" w:w="2422"/>
            <w:shd w:val="clear" w:color="auto" w:fill="F2F2F2"/>
          </w:tcPr>
          <w:p>
            <w:pPr>
              <w:spacing w:before="20" w:after="20"/>
              <w:jc w:val="center"/>
            </w:pPr>
            <w:r>
              <w:rPr>
                <w:rFonts w:ascii="Calibri" w:hAnsi="Calibri"/>
                <w:b/>
                <w:i w:val="0"/>
                <w:color w:val="404040"/>
                <w:sz w:val="18"/>
              </w:rPr>
              <w:t>~</w:t>
            </w:r>
          </w:p>
        </w:tc>
      </w:tr>
      <w:tr>
        <w:tc>
          <w:tcPr>
            <w:tcW w:type="dxa" w:w="2422"/>
            <w:shd w:val="clear" w:color="auto" w:fill="FFFFFF"/>
          </w:tcPr>
          <w:p>
            <w:pPr>
              <w:spacing w:before="20" w:after="20"/>
              <w:jc w:val="left"/>
            </w:pPr>
            <w:r>
              <w:rPr>
                <w:rFonts w:ascii="Calibri" w:hAnsi="Calibri"/>
                <w:b w:val="0"/>
                <w:i w:val="0"/>
                <w:sz w:val="18"/>
              </w:rPr>
              <w:t>Dependency Score %</w:t>
            </w:r>
          </w:p>
        </w:tc>
        <w:tc>
          <w:tcPr>
            <w:tcW w:type="dxa" w:w="2422"/>
            <w:shd w:val="clear" w:color="auto" w:fill="FFFFFF"/>
          </w:tcPr>
          <w:p>
            <w:pPr>
              <w:spacing w:before="20" w:after="20"/>
              <w:jc w:val="center"/>
            </w:pPr>
            <w:r>
              <w:rPr>
                <w:rFonts w:ascii="Calibri" w:hAnsi="Calibri"/>
                <w:b w:val="0"/>
                <w:i w:val="0"/>
                <w:sz w:val="18"/>
              </w:rPr>
              <w:t>97.28%</w:t>
            </w:r>
          </w:p>
        </w:tc>
        <w:tc>
          <w:tcPr>
            <w:tcW w:type="dxa" w:w="2422"/>
            <w:shd w:val="clear" w:color="auto" w:fill="FFFFFF"/>
          </w:tcPr>
          <w:p>
            <w:pPr>
              <w:spacing w:before="20" w:after="20"/>
              <w:jc w:val="left"/>
            </w:pPr>
            <w:r>
              <w:rPr>
                <w:rFonts w:ascii="Calibri" w:hAnsi="Calibri"/>
                <w:b w:val="0"/>
                <w:i w:val="0"/>
                <w:sz w:val="18"/>
              </w:rPr>
              <w:t>Higher is better</w:t>
            </w:r>
          </w:p>
        </w:tc>
        <w:tc>
          <w:tcPr>
            <w:tcW w:type="dxa" w:w="2422"/>
            <w:shd w:val="clear" w:color="auto" w:fill="FFFFFF"/>
          </w:tcPr>
          <w:p>
            <w:pPr>
              <w:spacing w:before="20" w:after="20"/>
              <w:jc w:val="center"/>
            </w:pPr>
            <w:r>
              <w:rPr>
                <w:rFonts w:ascii="Calibri" w:hAnsi="Calibri"/>
                <w:b/>
                <w:i w:val="0"/>
                <w:color w:val="404040"/>
                <w:sz w:val="18"/>
              </w:rPr>
              <w:t>~</w:t>
            </w:r>
          </w:p>
        </w:tc>
      </w:tr>
      <w:tr>
        <w:tc>
          <w:tcPr>
            <w:tcW w:type="dxa" w:w="2422"/>
            <w:shd w:val="clear" w:color="auto" w:fill="BDD7EE"/>
          </w:tcPr>
          <w:p>
            <w:pPr>
              <w:spacing w:before="20" w:after="20"/>
              <w:jc w:val="left"/>
            </w:pPr>
            <w:r>
              <w:rPr>
                <w:rFonts w:ascii="Calibri" w:hAnsi="Calibri"/>
                <w:b w:val="0"/>
                <w:i w:val="0"/>
                <w:sz w:val="18"/>
              </w:rPr>
              <w:t>Security Issues (avg)</w:t>
            </w:r>
          </w:p>
        </w:tc>
        <w:tc>
          <w:tcPr>
            <w:tcW w:type="dxa" w:w="2422"/>
            <w:shd w:val="clear" w:color="auto" w:fill="BDD7EE"/>
          </w:tcPr>
          <w:p>
            <w:pPr>
              <w:spacing w:before="20" w:after="20"/>
              <w:jc w:val="center"/>
            </w:pPr>
            <w:r>
              <w:rPr>
                <w:rFonts w:ascii="Calibri" w:hAnsi="Calibri"/>
                <w:b w:val="0"/>
                <w:i w:val="0"/>
                <w:sz w:val="18"/>
              </w:rPr>
              <w:t>0.1733</w:t>
            </w:r>
          </w:p>
        </w:tc>
        <w:tc>
          <w:tcPr>
            <w:tcW w:type="dxa" w:w="2422"/>
            <w:shd w:val="clear" w:color="auto" w:fill="BDD7EE"/>
          </w:tcPr>
          <w:p>
            <w:pPr>
              <w:spacing w:before="20" w:after="20"/>
              <w:jc w:val="left"/>
            </w:pPr>
            <w:r>
              <w:rPr>
                <w:rFonts w:ascii="Calibri" w:hAnsi="Calibri"/>
                <w:b w:val="0"/>
                <w:i w:val="0"/>
                <w:sz w:val="18"/>
              </w:rPr>
              <w:t>Lower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Hardcoded Secrets (avg)</w:t>
            </w:r>
          </w:p>
        </w:tc>
        <w:tc>
          <w:tcPr>
            <w:tcW w:type="dxa" w:w="2422"/>
            <w:shd w:val="clear" w:color="auto" w:fill="BDD7EE"/>
          </w:tcPr>
          <w:p>
            <w:pPr>
              <w:spacing w:before="20" w:after="20"/>
              <w:jc w:val="center"/>
            </w:pPr>
            <w:r>
              <w:rPr>
                <w:rFonts w:ascii="Calibri" w:hAnsi="Calibri"/>
                <w:b w:val="0"/>
                <w:i w:val="0"/>
                <w:sz w:val="18"/>
              </w:rPr>
              <w:t>0.0000</w:t>
            </w:r>
          </w:p>
        </w:tc>
        <w:tc>
          <w:tcPr>
            <w:tcW w:type="dxa" w:w="2422"/>
            <w:shd w:val="clear" w:color="auto" w:fill="BDD7EE"/>
          </w:tcPr>
          <w:p>
            <w:pPr>
              <w:spacing w:before="20" w:after="20"/>
              <w:jc w:val="left"/>
            </w:pPr>
            <w:r>
              <w:rPr>
                <w:rFonts w:ascii="Calibri" w:hAnsi="Calibri"/>
                <w:b w:val="0"/>
                <w:i w:val="0"/>
                <w:sz w:val="18"/>
              </w:rPr>
              <w:t>Lower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FFCCCC"/>
          </w:tcPr>
          <w:p>
            <w:pPr>
              <w:spacing w:before="20" w:after="20"/>
              <w:jc w:val="left"/>
            </w:pPr>
            <w:r>
              <w:rPr>
                <w:rFonts w:ascii="Calibri" w:hAnsi="Calibri"/>
                <w:b w:val="0"/>
                <w:i w:val="0"/>
                <w:sz w:val="18"/>
              </w:rPr>
              <w:t>Best-Practice Score %</w:t>
            </w:r>
          </w:p>
        </w:tc>
        <w:tc>
          <w:tcPr>
            <w:tcW w:type="dxa" w:w="2422"/>
            <w:shd w:val="clear" w:color="auto" w:fill="FFCCCC"/>
          </w:tcPr>
          <w:p>
            <w:pPr>
              <w:spacing w:before="20" w:after="20"/>
              <w:jc w:val="center"/>
            </w:pPr>
            <w:r>
              <w:rPr>
                <w:rFonts w:ascii="Calibri" w:hAnsi="Calibri"/>
                <w:b w:val="0"/>
                <w:i w:val="0"/>
                <w:sz w:val="18"/>
              </w:rPr>
              <w:t>40.37%</w:t>
            </w:r>
          </w:p>
        </w:tc>
        <w:tc>
          <w:tcPr>
            <w:tcW w:type="dxa" w:w="2422"/>
            <w:shd w:val="clear" w:color="auto" w:fill="FFCCCC"/>
          </w:tcPr>
          <w:p>
            <w:pPr>
              <w:spacing w:before="20" w:after="20"/>
              <w:jc w:val="left"/>
            </w:pPr>
            <w:r>
              <w:rPr>
                <w:rFonts w:ascii="Calibri" w:hAnsi="Calibri"/>
                <w:b w:val="0"/>
                <w:i w:val="0"/>
                <w:sz w:val="18"/>
              </w:rPr>
              <w:t>Higher is better</w:t>
            </w:r>
          </w:p>
        </w:tc>
        <w:tc>
          <w:tcPr>
            <w:tcW w:type="dxa" w:w="2422"/>
            <w:shd w:val="clear" w:color="auto" w:fill="FFCCCC"/>
          </w:tcPr>
          <w:p>
            <w:pPr>
              <w:spacing w:before="20" w:after="20"/>
              <w:jc w:val="center"/>
            </w:pPr>
            <w:r>
              <w:rPr>
                <w:rFonts w:ascii="Calibri" w:hAnsi="Calibri"/>
                <w:b/>
                <w:i w:val="0"/>
                <w:color w:val="FF0000"/>
                <w:sz w:val="18"/>
              </w:rPr>
              <w:t>!</w:t>
            </w:r>
          </w:p>
        </w:tc>
      </w:tr>
      <w:tr>
        <w:tc>
          <w:tcPr>
            <w:tcW w:type="dxa" w:w="2422"/>
            <w:shd w:val="clear" w:color="auto" w:fill="FFFFFF"/>
          </w:tcPr>
          <w:p>
            <w:pPr>
              <w:spacing w:before="20" w:after="20"/>
              <w:jc w:val="left"/>
            </w:pPr>
            <w:r>
              <w:rPr>
                <w:rFonts w:ascii="Calibri" w:hAnsi="Calibri"/>
                <w:b w:val="0"/>
                <w:i w:val="0"/>
                <w:sz w:val="18"/>
              </w:rPr>
              <w:t>Code Similarity %</w:t>
            </w:r>
          </w:p>
        </w:tc>
        <w:tc>
          <w:tcPr>
            <w:tcW w:type="dxa" w:w="2422"/>
            <w:shd w:val="clear" w:color="auto" w:fill="FFFFFF"/>
          </w:tcPr>
          <w:p>
            <w:pPr>
              <w:spacing w:before="20" w:after="20"/>
              <w:jc w:val="center"/>
            </w:pPr>
            <w:r>
              <w:rPr>
                <w:rFonts w:ascii="Calibri" w:hAnsi="Calibri"/>
                <w:b w:val="0"/>
                <w:i w:val="0"/>
                <w:sz w:val="18"/>
              </w:rPr>
              <w:t>0.00%</w:t>
            </w:r>
          </w:p>
        </w:tc>
        <w:tc>
          <w:tcPr>
            <w:tcW w:type="dxa" w:w="2422"/>
            <w:shd w:val="clear" w:color="auto" w:fill="FFFFFF"/>
          </w:tcPr>
          <w:p>
            <w:pPr>
              <w:spacing w:before="20" w:after="20"/>
              <w:jc w:val="left"/>
            </w:pPr>
            <w:r>
              <w:rPr>
                <w:rFonts w:ascii="Calibri" w:hAnsi="Calibri"/>
                <w:b w:val="0"/>
                <w:i w:val="0"/>
                <w:sz w:val="18"/>
              </w:rPr>
              <w:t>Higher is better (informational)</w:t>
            </w:r>
          </w:p>
        </w:tc>
        <w:tc>
          <w:tcPr>
            <w:tcW w:type="dxa" w:w="2422"/>
            <w:shd w:val="clear" w:color="auto" w:fill="FFFFFF"/>
          </w:tcPr>
          <w:p>
            <w:pPr>
              <w:spacing w:before="20" w:after="20"/>
              <w:jc w:val="center"/>
            </w:pPr>
            <w:r>
              <w:rPr>
                <w:rFonts w:ascii="Calibri" w:hAnsi="Calibri"/>
                <w:b/>
                <w:i w:val="0"/>
                <w:color w:val="404040"/>
                <w:sz w:val="18"/>
              </w:rPr>
              <w:t>~</w:t>
            </w:r>
          </w:p>
        </w:tc>
      </w:tr>
      <w:tr>
        <w:tc>
          <w:tcPr>
            <w:tcW w:type="dxa" w:w="2422"/>
            <w:shd w:val="clear" w:color="auto" w:fill="FFCCCC"/>
          </w:tcPr>
          <w:p>
            <w:pPr>
              <w:spacing w:before="20" w:after="20"/>
              <w:jc w:val="left"/>
            </w:pPr>
            <w:r>
              <w:rPr>
                <w:rFonts w:ascii="Calibri" w:hAnsi="Calibri"/>
                <w:b w:val="0"/>
                <w:i w:val="0"/>
                <w:sz w:val="18"/>
              </w:rPr>
              <w:t>Composite Score /100</w:t>
            </w:r>
          </w:p>
        </w:tc>
        <w:tc>
          <w:tcPr>
            <w:tcW w:type="dxa" w:w="2422"/>
            <w:shd w:val="clear" w:color="auto" w:fill="FFCCCC"/>
          </w:tcPr>
          <w:p>
            <w:pPr>
              <w:spacing w:before="20" w:after="20"/>
              <w:jc w:val="center"/>
            </w:pPr>
            <w:r>
              <w:rPr>
                <w:rFonts w:ascii="Calibri" w:hAnsi="Calibri"/>
                <w:b w:val="0"/>
                <w:i w:val="0"/>
                <w:sz w:val="18"/>
              </w:rPr>
              <w:t>91.99</w:t>
            </w:r>
          </w:p>
        </w:tc>
        <w:tc>
          <w:tcPr>
            <w:tcW w:type="dxa" w:w="2422"/>
            <w:shd w:val="clear" w:color="auto" w:fill="FFCCCC"/>
          </w:tcPr>
          <w:p>
            <w:pPr>
              <w:spacing w:before="20" w:after="20"/>
              <w:jc w:val="left"/>
            </w:pPr>
            <w:r>
              <w:rPr>
                <w:rFonts w:ascii="Calibri" w:hAnsi="Calibri"/>
                <w:b w:val="0"/>
                <w:i w:val="0"/>
                <w:sz w:val="18"/>
              </w:rPr>
              <w:t>Higher is better</w:t>
            </w:r>
          </w:p>
        </w:tc>
        <w:tc>
          <w:tcPr>
            <w:tcW w:type="dxa" w:w="2422"/>
            <w:shd w:val="clear" w:color="auto" w:fill="FFCCCC"/>
          </w:tcPr>
          <w:p>
            <w:pPr>
              <w:spacing w:before="20" w:after="20"/>
              <w:jc w:val="center"/>
            </w:pPr>
            <w:r>
              <w:rPr>
                <w:rFonts w:ascii="Calibri" w:hAnsi="Calibri"/>
                <w:b/>
                <w:i w:val="0"/>
                <w:color w:val="FF0000"/>
                <w:sz w:val="18"/>
              </w:rPr>
              <w:t>!</w:t>
            </w:r>
          </w:p>
        </w:tc>
      </w:tr>
      <w:tr>
        <w:tc>
          <w:tcPr>
            <w:tcW w:type="dxa" w:w="2422"/>
            <w:shd w:val="clear" w:color="auto" w:fill="FFFFFF"/>
          </w:tcPr>
          <w:p>
            <w:pPr>
              <w:spacing w:before="20" w:after="20"/>
              <w:jc w:val="left"/>
            </w:pPr>
            <w:r>
              <w:rPr>
                <w:rFonts w:ascii="Calibri" w:hAnsi="Calibri"/>
                <w:b w:val="0"/>
                <w:i w:val="0"/>
                <w:sz w:val="18"/>
              </w:rPr>
              <w:t>Final Rank</w:t>
            </w:r>
          </w:p>
        </w:tc>
        <w:tc>
          <w:tcPr>
            <w:tcW w:type="dxa" w:w="2422"/>
            <w:shd w:val="clear" w:color="auto" w:fill="FFFFFF"/>
          </w:tcPr>
          <w:p>
            <w:pPr>
              <w:spacing w:before="20" w:after="20"/>
              <w:jc w:val="center"/>
            </w:pPr>
            <w:r>
              <w:rPr>
                <w:rFonts w:ascii="Calibri" w:hAnsi="Calibri"/>
                <w:b w:val="0"/>
                <w:i w:val="0"/>
                <w:sz w:val="18"/>
              </w:rPr>
              <w:t>8 / 9</w:t>
            </w:r>
          </w:p>
        </w:tc>
        <w:tc>
          <w:tcPr>
            <w:tcW w:type="dxa" w:w="2422"/>
            <w:shd w:val="clear" w:color="auto" w:fill="FFFFFF"/>
          </w:tcPr>
          <w:p>
            <w:pPr>
              <w:spacing w:before="20" w:after="20"/>
              <w:jc w:val="left"/>
            </w:pPr>
            <w:r>
              <w:rPr>
                <w:rFonts w:ascii="Calibri" w:hAnsi="Calibri"/>
                <w:b w:val="0"/>
                <w:i w:val="0"/>
                <w:sz w:val="18"/>
              </w:rPr>
              <w:t>Lower is better</w:t>
            </w:r>
          </w:p>
        </w:tc>
        <w:tc>
          <w:tcPr>
            <w:tcW w:type="dxa" w:w="2422"/>
            <w:shd w:val="clear" w:color="auto" w:fill="FFFFFF"/>
          </w:tcPr>
          <w:p>
            <w:pPr>
              <w:spacing w:before="20" w:after="20"/>
              <w:jc w:val="center"/>
            </w:pPr>
            <w:r>
              <w:rPr>
                <w:rFonts w:ascii="Calibri" w:hAnsi="Calibri"/>
                <w:b/>
                <w:i w:val="0"/>
                <w:color w:val="404040"/>
                <w:sz w:val="18"/>
              </w:rPr>
              <w:t>~</w:t>
            </w:r>
          </w:p>
        </w:tc>
      </w:tr>
    </w:tbl>
    <w:p>
      <w:r>
        <w:br w:type="page"/>
      </w:r>
    </w:p>
    <w:p>
      <w:pPr>
        <w:pStyle w:val="Heading2"/>
      </w:pPr>
      <w:r>
        <w:rPr>
          <w:color w:val="1F3564"/>
        </w:rPr>
        <w:t>E03 – Few-Shot TerraDS Prompting</w:t>
      </w:r>
    </w:p>
    <w:p>
      <w:pPr>
        <w:spacing w:before="120" w:after="40"/>
      </w:pPr>
      <w:r>
        <w:rPr>
          <w:rFonts w:ascii="Calibri" w:hAnsi="Calibri"/>
          <w:b/>
          <w:color w:val="2E74B5"/>
          <w:sz w:val="21"/>
        </w:rPr>
        <w:t>Goal</w:t>
      </w:r>
    </w:p>
    <w:p>
      <w:pPr>
        <w:spacing w:before="40" w:after="40"/>
      </w:pPr>
      <w:r>
        <w:rPr>
          <w:rFonts w:ascii="Calibri" w:hAnsi="Calibri"/>
          <w:b w:val="0"/>
          <w:i w:val="0"/>
          <w:sz w:val="21"/>
        </w:rPr>
        <w:t>This experiment evaluates whether including real Terraform examples from TerraDS in the prompt improves the quality of generated code. Two or three provider-matched TerraDS examples are selected per prompt and included before the generation instruction, enabling in-context learning without fine-tuning.</w:t>
      </w:r>
    </w:p>
    <w:p>
      <w:pPr>
        <w:spacing w:before="40" w:after="40"/>
      </w:pPr>
      <w:r>
        <w:rPr>
          <w:rFonts w:ascii="Calibri" w:hAnsi="Calibri"/>
          <w:b/>
          <w:i w:val="0"/>
          <w:sz w:val="20"/>
        </w:rPr>
        <w:t>Primary Evaluation Focus: Best-Practice Score, Resource Coverage, HCL Syntax Validity</w:t>
      </w:r>
    </w:p>
    <w:p>
      <w:pPr>
        <w:spacing w:before="120" w:after="40"/>
      </w:pPr>
      <w:r>
        <w:rPr>
          <w:rFonts w:ascii="Calibri" w:hAnsi="Calibri"/>
          <w:b/>
          <w:color w:val="2E74B5"/>
          <w:sz w:val="21"/>
        </w:rPr>
        <w:t>Implementation Steps</w:t>
      </w:r>
    </w:p>
    <w:p>
      <w:pPr>
        <w:pStyle w:val="ListBullet"/>
        <w:spacing w:before="20" w:after="20"/>
      </w:pPr>
      <w:r>
        <w:rPr>
          <w:rFonts w:ascii="Calibri" w:hAnsi="Calibri"/>
          <w:sz w:val="20"/>
        </w:rPr>
        <w:t>For each test prompt, the TerraDS dataset was queried to select two to three Terraform examples from the same cloud provider as the prompt.</w:t>
      </w:r>
    </w:p>
    <w:p>
      <w:pPr>
        <w:pStyle w:val="ListBullet"/>
        <w:spacing w:before="20" w:after="20"/>
      </w:pPr>
      <w:r>
        <w:rPr>
          <w:rFonts w:ascii="Calibri" w:hAnsi="Calibri"/>
          <w:sz w:val="20"/>
        </w:rPr>
        <w:t>Selected examples were prepended to the prompt as in-context demonstrations before the generation instruction.</w:t>
      </w:r>
    </w:p>
    <w:p>
      <w:pPr>
        <w:pStyle w:val="ListBullet"/>
        <w:spacing w:before="20" w:after="20"/>
      </w:pPr>
      <w:r>
        <w:rPr>
          <w:rFonts w:ascii="Calibri" w:hAnsi="Calibri"/>
          <w:sz w:val="20"/>
        </w:rPr>
        <w:t>The full few-shot prompt was sent to LLaMA 3.3 70B and the generated Terraform code was collected.</w:t>
      </w:r>
    </w:p>
    <w:p>
      <w:pPr>
        <w:pStyle w:val="ListBullet"/>
        <w:spacing w:before="20" w:after="20"/>
      </w:pPr>
      <w:r>
        <w:rPr>
          <w:rFonts w:ascii="Calibri" w:hAnsi="Calibri"/>
          <w:sz w:val="20"/>
        </w:rPr>
        <w:t>All ten offline evaluation metrics were computed over the 300 samples.</w:t>
      </w:r>
    </w:p>
    <w:p>
      <w:pPr>
        <w:pStyle w:val="ListBullet"/>
        <w:spacing w:before="20" w:after="20"/>
      </w:pPr>
      <w:r>
        <w:rPr>
          <w:rFonts w:ascii="Calibri" w:hAnsi="Calibri"/>
          <w:sz w:val="20"/>
        </w:rPr>
        <w:t>Results were stored in E03_FewShot_results.json.</w:t>
      </w:r>
    </w:p>
    <w:p>
      <w:pPr>
        <w:spacing w:before="120" w:after="40"/>
      </w:pPr>
      <w:r>
        <w:rPr>
          <w:rFonts w:ascii="Calibri" w:hAnsi="Calibri"/>
          <w:b/>
          <w:color w:val="2E74B5"/>
          <w:sz w:val="21"/>
        </w:rPr>
        <w:t>Results Discussion</w:t>
      </w:r>
    </w:p>
    <w:p>
      <w:pPr>
        <w:pStyle w:val="ListBullet"/>
        <w:spacing w:before="20" w:after="20"/>
      </w:pPr>
      <w:r>
        <w:rPr>
          <w:rFonts w:ascii="Calibri" w:hAnsi="Calibri"/>
          <w:b/>
          <w:sz w:val="20"/>
        </w:rPr>
        <w:t xml:space="preserve">HCL Syntax Validity (100%): </w:t>
      </w:r>
      <w:r>
        <w:rPr>
          <w:rFonts w:ascii="Calibri" w:hAnsi="Calibri"/>
          <w:sz w:val="20"/>
        </w:rPr>
        <w:t>Perfect syntax validity maintained — real examples reinforce correct HCL block structure.</w:t>
      </w:r>
    </w:p>
    <w:p>
      <w:pPr>
        <w:pStyle w:val="ListBullet"/>
        <w:spacing w:before="20" w:after="20"/>
      </w:pPr>
      <w:r>
        <w:rPr>
          <w:rFonts w:ascii="Calibri" w:hAnsi="Calibri"/>
          <w:b/>
          <w:sz w:val="20"/>
        </w:rPr>
        <w:t xml:space="preserve">Terraform Format Pass (100%): </w:t>
      </w:r>
      <w:r>
        <w:rPr>
          <w:rFonts w:ascii="Calibri" w:hAnsi="Calibri"/>
          <w:sz w:val="20"/>
        </w:rPr>
        <w:t>All outputs passed formatting, showing that exposure to well-formatted TerraDS examples promotes formatting consistency.</w:t>
      </w:r>
    </w:p>
    <w:p>
      <w:pPr>
        <w:pStyle w:val="ListBullet"/>
        <w:spacing w:before="20" w:after="20"/>
      </w:pPr>
      <w:r>
        <w:rPr>
          <w:rFonts w:ascii="Calibri" w:hAnsi="Calibri"/>
          <w:b/>
          <w:sz w:val="20"/>
        </w:rPr>
        <w:t xml:space="preserve">Terraform Validation Pass (100%): </w:t>
      </w:r>
      <w:r>
        <w:rPr>
          <w:rFonts w:ascii="Calibri" w:hAnsi="Calibri"/>
          <w:sz w:val="20"/>
        </w:rPr>
        <w:t>Perfect validation across all 300 samples — in-context examples help the model avoid missing required arguments.</w:t>
      </w:r>
    </w:p>
    <w:p>
      <w:pPr>
        <w:pStyle w:val="ListBullet"/>
        <w:spacing w:before="20" w:after="20"/>
      </w:pPr>
      <w:r>
        <w:rPr>
          <w:rFonts w:ascii="Calibri" w:hAnsi="Calibri"/>
          <w:b/>
          <w:sz w:val="20"/>
        </w:rPr>
        <w:t xml:space="preserve">Provider Correctness (100%): </w:t>
      </w:r>
      <w:r>
        <w:rPr>
          <w:rFonts w:ascii="Calibri" w:hAnsi="Calibri"/>
          <w:sz w:val="20"/>
        </w:rPr>
        <w:t>Provider-matched examples ensure the model selects correct provider resources.</w:t>
      </w:r>
    </w:p>
    <w:p>
      <w:pPr>
        <w:pStyle w:val="ListBullet"/>
        <w:spacing w:before="20" w:after="20"/>
      </w:pPr>
      <w:r>
        <w:rPr>
          <w:rFonts w:ascii="Calibri" w:hAnsi="Calibri"/>
          <w:b/>
          <w:sz w:val="20"/>
        </w:rPr>
        <w:t xml:space="preserve">Resource Coverage (89.33%): </w:t>
      </w:r>
      <w:r>
        <w:rPr>
          <w:rFonts w:ascii="Calibri" w:hAnsi="Calibri"/>
          <w:sz w:val="20"/>
        </w:rPr>
        <w:t>Same as E02. Few-shot examples improve code quality but do not always add the full set of dependent resources.</w:t>
      </w:r>
    </w:p>
    <w:p>
      <w:pPr>
        <w:pStyle w:val="ListBullet"/>
        <w:spacing w:before="20" w:after="20"/>
      </w:pPr>
      <w:r>
        <w:rPr>
          <w:rFonts w:ascii="Calibri" w:hAnsi="Calibri"/>
          <w:b/>
          <w:sz w:val="20"/>
        </w:rPr>
        <w:t xml:space="preserve">Dependency Score (96.80%): </w:t>
      </w:r>
      <w:r>
        <w:rPr>
          <w:rFonts w:ascii="Calibri" w:hAnsi="Calibri"/>
          <w:sz w:val="20"/>
        </w:rPr>
        <w:t>Slightly lower than baseline — dense example text may occasionally distract from dependency relationships.</w:t>
      </w:r>
    </w:p>
    <w:p>
      <w:pPr>
        <w:pStyle w:val="ListBullet"/>
        <w:spacing w:before="20" w:after="20"/>
      </w:pPr>
      <w:r>
        <w:rPr>
          <w:rFonts w:ascii="Calibri" w:hAnsi="Calibri"/>
          <w:b/>
          <w:sz w:val="20"/>
        </w:rPr>
        <w:t xml:space="preserve">Security Issues (0.2067 per sample): </w:t>
      </w:r>
      <w:r>
        <w:rPr>
          <w:rFonts w:ascii="Calibri" w:hAnsi="Calibri"/>
          <w:sz w:val="20"/>
        </w:rPr>
        <w:t>Similar to baseline. Real TerraDS examples contain typical open-source security postures, which the model mimics.</w:t>
      </w:r>
    </w:p>
    <w:p>
      <w:pPr>
        <w:pStyle w:val="ListBullet"/>
        <w:spacing w:before="20" w:after="20"/>
      </w:pPr>
      <w:r>
        <w:rPr>
          <w:rFonts w:ascii="Calibri" w:hAnsi="Calibri"/>
          <w:b/>
          <w:sz w:val="20"/>
        </w:rPr>
        <w:t xml:space="preserve">Hardcoded Secrets (0.0067): </w:t>
      </w:r>
      <w:r>
        <w:rPr>
          <w:rFonts w:ascii="Calibri" w:hAnsi="Calibri"/>
          <w:sz w:val="20"/>
        </w:rPr>
        <w:t>Minimal hardcoded secrets detected — in-context examples may occasionally include credential placeholders.</w:t>
      </w:r>
    </w:p>
    <w:p>
      <w:pPr>
        <w:pStyle w:val="ListBullet"/>
        <w:spacing w:before="20" w:after="20"/>
      </w:pPr>
      <w:r>
        <w:rPr>
          <w:rFonts w:ascii="Calibri" w:hAnsi="Calibri"/>
          <w:b/>
          <w:sz w:val="20"/>
        </w:rPr>
        <w:t xml:space="preserve">Best-Practice Score (46.96%): </w:t>
      </w:r>
      <w:r>
        <w:rPr>
          <w:rFonts w:ascii="Calibri" w:hAnsi="Calibri"/>
          <w:sz w:val="20"/>
        </w:rPr>
        <w:t>Highest best-practice score in non-RAG experiments, up from 40–41% in E01 and E02. Real TerraDS examples promote variable usage and naming conventions.</w:t>
      </w:r>
    </w:p>
    <w:p>
      <w:pPr>
        <w:pStyle w:val="ListBullet"/>
        <w:spacing w:before="20" w:after="20"/>
      </w:pPr>
      <w:r>
        <w:rPr>
          <w:rFonts w:ascii="Calibri" w:hAnsi="Calibri"/>
          <w:b/>
          <w:sz w:val="20"/>
        </w:rPr>
        <w:t xml:space="preserve">Final Weighted Score (92.56 / Rank 3): </w:t>
      </w:r>
      <w:r>
        <w:rPr>
          <w:rFonts w:ascii="Calibri" w:hAnsi="Calibri"/>
          <w:sz w:val="20"/>
        </w:rPr>
        <w:t>Third-best overall result. Few-shot prompting produces the strongest best-practice improvement without RAG infrastructure.</w:t>
      </w:r>
    </w:p>
    <w:p>
      <w:pPr>
        <w:spacing w:before="120" w:after="40"/>
      </w:pPr>
      <w:r>
        <w:rPr>
          <w:rFonts w:ascii="Calibri" w:hAnsi="Calibri"/>
          <w:b/>
          <w:color w:val="2E74B5"/>
          <w:sz w:val="21"/>
        </w:rPr>
        <w:t>Advantages</w:t>
      </w:r>
    </w:p>
    <w:p>
      <w:pPr>
        <w:pStyle w:val="ListBullet"/>
        <w:spacing w:before="20" w:after="20"/>
      </w:pPr>
      <w:r>
        <w:rPr>
          <w:rFonts w:ascii="Calibri" w:hAnsi="Calibri"/>
          <w:sz w:val="20"/>
        </w:rPr>
        <w:t>Significant improvement in best-practice score through in-context learning from real Terraform examples.</w:t>
      </w:r>
    </w:p>
    <w:p>
      <w:pPr>
        <w:pStyle w:val="ListBullet"/>
        <w:spacing w:before="20" w:after="20"/>
      </w:pPr>
      <w:r>
        <w:rPr>
          <w:rFonts w:ascii="Calibri" w:hAnsi="Calibri"/>
          <w:sz w:val="20"/>
        </w:rPr>
        <w:t>Achieves perfect syntax, format, validation, and provider correctness.</w:t>
      </w:r>
    </w:p>
    <w:p>
      <w:pPr>
        <w:pStyle w:val="ListBullet"/>
        <w:spacing w:before="20" w:after="20"/>
      </w:pPr>
      <w:r>
        <w:rPr>
          <w:rFonts w:ascii="Calibri" w:hAnsi="Calibri"/>
          <w:sz w:val="20"/>
        </w:rPr>
        <w:t>No retrieval infrastructure required — examples are selected via simple provider matching.</w:t>
      </w:r>
    </w:p>
    <w:p>
      <w:pPr>
        <w:spacing w:before="120" w:after="40"/>
      </w:pPr>
      <w:r>
        <w:rPr>
          <w:rFonts w:ascii="Calibri" w:hAnsi="Calibri"/>
          <w:b/>
          <w:color w:val="2E74B5"/>
          <w:sz w:val="21"/>
        </w:rPr>
        <w:t>Disadvantages</w:t>
      </w:r>
    </w:p>
    <w:p>
      <w:pPr>
        <w:pStyle w:val="ListBullet"/>
        <w:spacing w:before="20" w:after="20"/>
      </w:pPr>
      <w:r>
        <w:rPr>
          <w:rFonts w:ascii="Calibri" w:hAnsi="Calibri"/>
          <w:sz w:val="20"/>
        </w:rPr>
        <w:t>Resource coverage does not improve beyond provider-specific prompting.</w:t>
      </w:r>
    </w:p>
    <w:p>
      <w:pPr>
        <w:pStyle w:val="ListBullet"/>
        <w:spacing w:before="20" w:after="20"/>
      </w:pPr>
      <w:r>
        <w:rPr>
          <w:rFonts w:ascii="Calibri" w:hAnsi="Calibri"/>
          <w:sz w:val="20"/>
        </w:rPr>
        <w:t>Security quality is not improved by TerraDS examples, which may themselves contain insecure patterns.</w:t>
      </w:r>
    </w:p>
    <w:p>
      <w:pPr>
        <w:pStyle w:val="ListBullet"/>
        <w:spacing w:before="20" w:after="20"/>
      </w:pPr>
      <w:r>
        <w:rPr>
          <w:rFonts w:ascii="Calibri" w:hAnsi="Calibri"/>
          <w:sz w:val="20"/>
        </w:rPr>
        <w:t>Dependency score is slightly lower than zero-shot, possibly due to longer prompts reducing focus on resource relationships.</w:t>
      </w:r>
    </w:p>
    <w:p>
      <w:pPr>
        <w:spacing w:before="120" w:after="40"/>
      </w:pPr>
      <w:r>
        <w:rPr>
          <w:rFonts w:ascii="Calibri" w:hAnsi="Calibri"/>
          <w:b/>
          <w:color w:val="2E74B5"/>
          <w:sz w:val="21"/>
        </w:rPr>
        <w:t>Main Results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F3564"/>
          </w:tcPr>
          <w:p>
            <w:pPr>
              <w:spacing w:before="20" w:after="20"/>
              <w:jc w:val="center"/>
            </w:pPr>
            <w:r>
              <w:rPr>
                <w:rFonts w:ascii="Calibri" w:hAnsi="Calibri"/>
                <w:b/>
                <w:i w:val="0"/>
                <w:color w:val="FFFFFF"/>
                <w:sz w:val="18"/>
              </w:rPr>
              <w:t>Metric</w:t>
            </w:r>
          </w:p>
        </w:tc>
        <w:tc>
          <w:tcPr>
            <w:tcW w:type="dxa" w:w="2422"/>
            <w:shd w:val="clear" w:color="auto" w:fill="1F3564"/>
          </w:tcPr>
          <w:p>
            <w:pPr>
              <w:spacing w:before="20" w:after="20"/>
              <w:jc w:val="center"/>
            </w:pPr>
            <w:r>
              <w:rPr>
                <w:rFonts w:ascii="Calibri" w:hAnsi="Calibri"/>
                <w:b/>
                <w:i w:val="0"/>
                <w:color w:val="FFFFFF"/>
                <w:sz w:val="18"/>
              </w:rPr>
              <w:t>Value</w:t>
            </w:r>
          </w:p>
        </w:tc>
        <w:tc>
          <w:tcPr>
            <w:tcW w:type="dxa" w:w="2422"/>
            <w:shd w:val="clear" w:color="auto" w:fill="1F3564"/>
          </w:tcPr>
          <w:p>
            <w:pPr>
              <w:spacing w:before="20" w:after="20"/>
              <w:jc w:val="center"/>
            </w:pPr>
            <w:r>
              <w:rPr>
                <w:rFonts w:ascii="Calibri" w:hAnsi="Calibri"/>
                <w:b/>
                <w:i w:val="0"/>
                <w:color w:val="FFFFFF"/>
                <w:sz w:val="18"/>
              </w:rPr>
              <w:t>Direction</w:t>
            </w:r>
          </w:p>
        </w:tc>
        <w:tc>
          <w:tcPr>
            <w:tcW w:type="dxa" w:w="2422"/>
            <w:shd w:val="clear" w:color="auto" w:fill="1F3564"/>
          </w:tcPr>
          <w:p>
            <w:pPr>
              <w:spacing w:before="20" w:after="20"/>
              <w:jc w:val="center"/>
            </w:pPr>
            <w:r>
              <w:rPr>
                <w:rFonts w:ascii="Calibri" w:hAnsi="Calibri"/>
                <w:b/>
                <w:i w:val="0"/>
                <w:color w:val="FFFFFF"/>
                <w:sz w:val="18"/>
              </w:rPr>
              <w:t>Status</w:t>
            </w:r>
          </w:p>
        </w:tc>
      </w:tr>
      <w:tr>
        <w:tc>
          <w:tcPr>
            <w:tcW w:type="dxa" w:w="2422"/>
            <w:shd w:val="clear" w:color="auto" w:fill="BDD7EE"/>
          </w:tcPr>
          <w:p>
            <w:pPr>
              <w:spacing w:before="20" w:after="20"/>
              <w:jc w:val="left"/>
            </w:pPr>
            <w:r>
              <w:rPr>
                <w:rFonts w:ascii="Calibri" w:hAnsi="Calibri"/>
                <w:b w:val="0"/>
                <w:i w:val="0"/>
                <w:sz w:val="18"/>
              </w:rPr>
              <w:t>HCL Syntax Validity %</w:t>
            </w:r>
          </w:p>
        </w:tc>
        <w:tc>
          <w:tcPr>
            <w:tcW w:type="dxa" w:w="2422"/>
            <w:shd w:val="clear" w:color="auto" w:fill="BDD7EE"/>
          </w:tcPr>
          <w:p>
            <w:pPr>
              <w:spacing w:before="20" w:after="20"/>
              <w:jc w:val="center"/>
            </w:pPr>
            <w:r>
              <w:rPr>
                <w:rFonts w:ascii="Calibri" w:hAnsi="Calibri"/>
                <w:b w:val="0"/>
                <w:i w:val="0"/>
                <w:sz w:val="18"/>
              </w:rPr>
              <w:t>100.00%</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Terraform Format Pass %</w:t>
            </w:r>
          </w:p>
        </w:tc>
        <w:tc>
          <w:tcPr>
            <w:tcW w:type="dxa" w:w="2422"/>
            <w:shd w:val="clear" w:color="auto" w:fill="BDD7EE"/>
          </w:tcPr>
          <w:p>
            <w:pPr>
              <w:spacing w:before="20" w:after="20"/>
              <w:jc w:val="center"/>
            </w:pPr>
            <w:r>
              <w:rPr>
                <w:rFonts w:ascii="Calibri" w:hAnsi="Calibri"/>
                <w:b w:val="0"/>
                <w:i w:val="0"/>
                <w:sz w:val="18"/>
              </w:rPr>
              <w:t>100.00%</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Terraform Validation Pass %</w:t>
            </w:r>
          </w:p>
        </w:tc>
        <w:tc>
          <w:tcPr>
            <w:tcW w:type="dxa" w:w="2422"/>
            <w:shd w:val="clear" w:color="auto" w:fill="BDD7EE"/>
          </w:tcPr>
          <w:p>
            <w:pPr>
              <w:spacing w:before="20" w:after="20"/>
              <w:jc w:val="center"/>
            </w:pPr>
            <w:r>
              <w:rPr>
                <w:rFonts w:ascii="Calibri" w:hAnsi="Calibri"/>
                <w:b w:val="0"/>
                <w:i w:val="0"/>
                <w:sz w:val="18"/>
              </w:rPr>
              <w:t>100.00%</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Provider Correctness %</w:t>
            </w:r>
          </w:p>
        </w:tc>
        <w:tc>
          <w:tcPr>
            <w:tcW w:type="dxa" w:w="2422"/>
            <w:shd w:val="clear" w:color="auto" w:fill="BDD7EE"/>
          </w:tcPr>
          <w:p>
            <w:pPr>
              <w:spacing w:before="20" w:after="20"/>
              <w:jc w:val="center"/>
            </w:pPr>
            <w:r>
              <w:rPr>
                <w:rFonts w:ascii="Calibri" w:hAnsi="Calibri"/>
                <w:b w:val="0"/>
                <w:i w:val="0"/>
                <w:sz w:val="18"/>
              </w:rPr>
              <w:t>100.00%</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F2F2F2"/>
          </w:tcPr>
          <w:p>
            <w:pPr>
              <w:spacing w:before="20" w:after="20"/>
              <w:jc w:val="left"/>
            </w:pPr>
            <w:r>
              <w:rPr>
                <w:rFonts w:ascii="Calibri" w:hAnsi="Calibri"/>
                <w:b w:val="0"/>
                <w:i w:val="0"/>
                <w:sz w:val="18"/>
              </w:rPr>
              <w:t>Resource Coverage %</w:t>
            </w:r>
          </w:p>
        </w:tc>
        <w:tc>
          <w:tcPr>
            <w:tcW w:type="dxa" w:w="2422"/>
            <w:shd w:val="clear" w:color="auto" w:fill="F2F2F2"/>
          </w:tcPr>
          <w:p>
            <w:pPr>
              <w:spacing w:before="20" w:after="20"/>
              <w:jc w:val="center"/>
            </w:pPr>
            <w:r>
              <w:rPr>
                <w:rFonts w:ascii="Calibri" w:hAnsi="Calibri"/>
                <w:b w:val="0"/>
                <w:i w:val="0"/>
                <w:sz w:val="18"/>
              </w:rPr>
              <w:t>89.33%</w:t>
            </w:r>
          </w:p>
        </w:tc>
        <w:tc>
          <w:tcPr>
            <w:tcW w:type="dxa" w:w="2422"/>
            <w:shd w:val="clear" w:color="auto" w:fill="F2F2F2"/>
          </w:tcPr>
          <w:p>
            <w:pPr>
              <w:spacing w:before="20" w:after="20"/>
              <w:jc w:val="left"/>
            </w:pPr>
            <w:r>
              <w:rPr>
                <w:rFonts w:ascii="Calibri" w:hAnsi="Calibri"/>
                <w:b w:val="0"/>
                <w:i w:val="0"/>
                <w:sz w:val="18"/>
              </w:rPr>
              <w:t>Higher is better</w:t>
            </w:r>
          </w:p>
        </w:tc>
        <w:tc>
          <w:tcPr>
            <w:tcW w:type="dxa" w:w="2422"/>
            <w:shd w:val="clear" w:color="auto" w:fill="F2F2F2"/>
          </w:tcPr>
          <w:p>
            <w:pPr>
              <w:spacing w:before="20" w:after="20"/>
              <w:jc w:val="center"/>
            </w:pPr>
            <w:r>
              <w:rPr>
                <w:rFonts w:ascii="Calibri" w:hAnsi="Calibri"/>
                <w:b/>
                <w:i w:val="0"/>
                <w:color w:val="404040"/>
                <w:sz w:val="18"/>
              </w:rPr>
              <w:t>~</w:t>
            </w:r>
          </w:p>
        </w:tc>
      </w:tr>
      <w:tr>
        <w:tc>
          <w:tcPr>
            <w:tcW w:type="dxa" w:w="2422"/>
            <w:shd w:val="clear" w:color="auto" w:fill="FFFFFF"/>
          </w:tcPr>
          <w:p>
            <w:pPr>
              <w:spacing w:before="20" w:after="20"/>
              <w:jc w:val="left"/>
            </w:pPr>
            <w:r>
              <w:rPr>
                <w:rFonts w:ascii="Calibri" w:hAnsi="Calibri"/>
                <w:b w:val="0"/>
                <w:i w:val="0"/>
                <w:sz w:val="18"/>
              </w:rPr>
              <w:t>Dependency Score %</w:t>
            </w:r>
          </w:p>
        </w:tc>
        <w:tc>
          <w:tcPr>
            <w:tcW w:type="dxa" w:w="2422"/>
            <w:shd w:val="clear" w:color="auto" w:fill="FFFFFF"/>
          </w:tcPr>
          <w:p>
            <w:pPr>
              <w:spacing w:before="20" w:after="20"/>
              <w:jc w:val="center"/>
            </w:pPr>
            <w:r>
              <w:rPr>
                <w:rFonts w:ascii="Calibri" w:hAnsi="Calibri"/>
                <w:b w:val="0"/>
                <w:i w:val="0"/>
                <w:sz w:val="18"/>
              </w:rPr>
              <w:t>96.80%</w:t>
            </w:r>
          </w:p>
        </w:tc>
        <w:tc>
          <w:tcPr>
            <w:tcW w:type="dxa" w:w="2422"/>
            <w:shd w:val="clear" w:color="auto" w:fill="FFFFFF"/>
          </w:tcPr>
          <w:p>
            <w:pPr>
              <w:spacing w:before="20" w:after="20"/>
              <w:jc w:val="left"/>
            </w:pPr>
            <w:r>
              <w:rPr>
                <w:rFonts w:ascii="Calibri" w:hAnsi="Calibri"/>
                <w:b w:val="0"/>
                <w:i w:val="0"/>
                <w:sz w:val="18"/>
              </w:rPr>
              <w:t>Higher is better</w:t>
            </w:r>
          </w:p>
        </w:tc>
        <w:tc>
          <w:tcPr>
            <w:tcW w:type="dxa" w:w="2422"/>
            <w:shd w:val="clear" w:color="auto" w:fill="FFFFFF"/>
          </w:tcPr>
          <w:p>
            <w:pPr>
              <w:spacing w:before="20" w:after="20"/>
              <w:jc w:val="center"/>
            </w:pPr>
            <w:r>
              <w:rPr>
                <w:rFonts w:ascii="Calibri" w:hAnsi="Calibri"/>
                <w:b/>
                <w:i w:val="0"/>
                <w:color w:val="404040"/>
                <w:sz w:val="18"/>
              </w:rPr>
              <w:t>~</w:t>
            </w:r>
          </w:p>
        </w:tc>
      </w:tr>
      <w:tr>
        <w:tc>
          <w:tcPr>
            <w:tcW w:type="dxa" w:w="2422"/>
            <w:shd w:val="clear" w:color="auto" w:fill="FFCCCC"/>
          </w:tcPr>
          <w:p>
            <w:pPr>
              <w:spacing w:before="20" w:after="20"/>
              <w:jc w:val="left"/>
            </w:pPr>
            <w:r>
              <w:rPr>
                <w:rFonts w:ascii="Calibri" w:hAnsi="Calibri"/>
                <w:b w:val="0"/>
                <w:i w:val="0"/>
                <w:sz w:val="18"/>
              </w:rPr>
              <w:t>Security Issues (avg)</w:t>
            </w:r>
          </w:p>
        </w:tc>
        <w:tc>
          <w:tcPr>
            <w:tcW w:type="dxa" w:w="2422"/>
            <w:shd w:val="clear" w:color="auto" w:fill="FFCCCC"/>
          </w:tcPr>
          <w:p>
            <w:pPr>
              <w:spacing w:before="20" w:after="20"/>
              <w:jc w:val="center"/>
            </w:pPr>
            <w:r>
              <w:rPr>
                <w:rFonts w:ascii="Calibri" w:hAnsi="Calibri"/>
                <w:b w:val="0"/>
                <w:i w:val="0"/>
                <w:sz w:val="18"/>
              </w:rPr>
              <w:t>0.2067</w:t>
            </w:r>
          </w:p>
        </w:tc>
        <w:tc>
          <w:tcPr>
            <w:tcW w:type="dxa" w:w="2422"/>
            <w:shd w:val="clear" w:color="auto" w:fill="FFCCCC"/>
          </w:tcPr>
          <w:p>
            <w:pPr>
              <w:spacing w:before="20" w:after="20"/>
              <w:jc w:val="left"/>
            </w:pPr>
            <w:r>
              <w:rPr>
                <w:rFonts w:ascii="Calibri" w:hAnsi="Calibri"/>
                <w:b w:val="0"/>
                <w:i w:val="0"/>
                <w:sz w:val="18"/>
              </w:rPr>
              <w:t>Lower is better</w:t>
            </w:r>
          </w:p>
        </w:tc>
        <w:tc>
          <w:tcPr>
            <w:tcW w:type="dxa" w:w="2422"/>
            <w:shd w:val="clear" w:color="auto" w:fill="FFCCCC"/>
          </w:tcPr>
          <w:p>
            <w:pPr>
              <w:spacing w:before="20" w:after="20"/>
              <w:jc w:val="center"/>
            </w:pPr>
            <w:r>
              <w:rPr>
                <w:rFonts w:ascii="Calibri" w:hAnsi="Calibri"/>
                <w:b/>
                <w:i w:val="0"/>
                <w:color w:val="FF0000"/>
                <w:sz w:val="18"/>
              </w:rPr>
              <w:t>!</w:t>
            </w:r>
          </w:p>
        </w:tc>
      </w:tr>
      <w:tr>
        <w:tc>
          <w:tcPr>
            <w:tcW w:type="dxa" w:w="2422"/>
            <w:shd w:val="clear" w:color="auto" w:fill="FFFFFF"/>
          </w:tcPr>
          <w:p>
            <w:pPr>
              <w:spacing w:before="20" w:after="20"/>
              <w:jc w:val="left"/>
            </w:pPr>
            <w:r>
              <w:rPr>
                <w:rFonts w:ascii="Calibri" w:hAnsi="Calibri"/>
                <w:b w:val="0"/>
                <w:i w:val="0"/>
                <w:sz w:val="18"/>
              </w:rPr>
              <w:t>Hardcoded Secrets (avg)</w:t>
            </w:r>
          </w:p>
        </w:tc>
        <w:tc>
          <w:tcPr>
            <w:tcW w:type="dxa" w:w="2422"/>
            <w:shd w:val="clear" w:color="auto" w:fill="FFFFFF"/>
          </w:tcPr>
          <w:p>
            <w:pPr>
              <w:spacing w:before="20" w:after="20"/>
              <w:jc w:val="center"/>
            </w:pPr>
            <w:r>
              <w:rPr>
                <w:rFonts w:ascii="Calibri" w:hAnsi="Calibri"/>
                <w:b w:val="0"/>
                <w:i w:val="0"/>
                <w:sz w:val="18"/>
              </w:rPr>
              <w:t>0.0067</w:t>
            </w:r>
          </w:p>
        </w:tc>
        <w:tc>
          <w:tcPr>
            <w:tcW w:type="dxa" w:w="2422"/>
            <w:shd w:val="clear" w:color="auto" w:fill="FFFFFF"/>
          </w:tcPr>
          <w:p>
            <w:pPr>
              <w:spacing w:before="20" w:after="20"/>
              <w:jc w:val="left"/>
            </w:pPr>
            <w:r>
              <w:rPr>
                <w:rFonts w:ascii="Calibri" w:hAnsi="Calibri"/>
                <w:b w:val="0"/>
                <w:i w:val="0"/>
                <w:sz w:val="18"/>
              </w:rPr>
              <w:t>Lower is better</w:t>
            </w:r>
          </w:p>
        </w:tc>
        <w:tc>
          <w:tcPr>
            <w:tcW w:type="dxa" w:w="2422"/>
            <w:shd w:val="clear" w:color="auto" w:fill="FFFFFF"/>
          </w:tcPr>
          <w:p>
            <w:pPr>
              <w:spacing w:before="20" w:after="20"/>
              <w:jc w:val="center"/>
            </w:pPr>
            <w:r>
              <w:rPr>
                <w:rFonts w:ascii="Calibri" w:hAnsi="Calibri"/>
                <w:b/>
                <w:i w:val="0"/>
                <w:color w:val="404040"/>
                <w:sz w:val="18"/>
              </w:rPr>
              <w:t>~</w:t>
            </w:r>
          </w:p>
        </w:tc>
      </w:tr>
      <w:tr>
        <w:tc>
          <w:tcPr>
            <w:tcW w:type="dxa" w:w="2422"/>
            <w:shd w:val="clear" w:color="auto" w:fill="F2F2F2"/>
          </w:tcPr>
          <w:p>
            <w:pPr>
              <w:spacing w:before="20" w:after="20"/>
              <w:jc w:val="left"/>
            </w:pPr>
            <w:r>
              <w:rPr>
                <w:rFonts w:ascii="Calibri" w:hAnsi="Calibri"/>
                <w:b w:val="0"/>
                <w:i w:val="0"/>
                <w:sz w:val="18"/>
              </w:rPr>
              <w:t>Best-Practice Score %</w:t>
            </w:r>
          </w:p>
        </w:tc>
        <w:tc>
          <w:tcPr>
            <w:tcW w:type="dxa" w:w="2422"/>
            <w:shd w:val="clear" w:color="auto" w:fill="F2F2F2"/>
          </w:tcPr>
          <w:p>
            <w:pPr>
              <w:spacing w:before="20" w:after="20"/>
              <w:jc w:val="center"/>
            </w:pPr>
            <w:r>
              <w:rPr>
                <w:rFonts w:ascii="Calibri" w:hAnsi="Calibri"/>
                <w:b w:val="0"/>
                <w:i w:val="0"/>
                <w:sz w:val="18"/>
              </w:rPr>
              <w:t>46.96%</w:t>
            </w:r>
          </w:p>
        </w:tc>
        <w:tc>
          <w:tcPr>
            <w:tcW w:type="dxa" w:w="2422"/>
            <w:shd w:val="clear" w:color="auto" w:fill="F2F2F2"/>
          </w:tcPr>
          <w:p>
            <w:pPr>
              <w:spacing w:before="20" w:after="20"/>
              <w:jc w:val="left"/>
            </w:pPr>
            <w:r>
              <w:rPr>
                <w:rFonts w:ascii="Calibri" w:hAnsi="Calibri"/>
                <w:b w:val="0"/>
                <w:i w:val="0"/>
                <w:sz w:val="18"/>
              </w:rPr>
              <w:t>Higher is better</w:t>
            </w:r>
          </w:p>
        </w:tc>
        <w:tc>
          <w:tcPr>
            <w:tcW w:type="dxa" w:w="2422"/>
            <w:shd w:val="clear" w:color="auto" w:fill="F2F2F2"/>
          </w:tcPr>
          <w:p>
            <w:pPr>
              <w:spacing w:before="20" w:after="20"/>
              <w:jc w:val="center"/>
            </w:pPr>
            <w:r>
              <w:rPr>
                <w:rFonts w:ascii="Calibri" w:hAnsi="Calibri"/>
                <w:b/>
                <w:i w:val="0"/>
                <w:color w:val="404040"/>
                <w:sz w:val="18"/>
              </w:rPr>
              <w:t>~</w:t>
            </w:r>
          </w:p>
        </w:tc>
      </w:tr>
      <w:tr>
        <w:tc>
          <w:tcPr>
            <w:tcW w:type="dxa" w:w="2422"/>
            <w:shd w:val="clear" w:color="auto" w:fill="FFFFFF"/>
          </w:tcPr>
          <w:p>
            <w:pPr>
              <w:spacing w:before="20" w:after="20"/>
              <w:jc w:val="left"/>
            </w:pPr>
            <w:r>
              <w:rPr>
                <w:rFonts w:ascii="Calibri" w:hAnsi="Calibri"/>
                <w:b w:val="0"/>
                <w:i w:val="0"/>
                <w:sz w:val="18"/>
              </w:rPr>
              <w:t>Code Similarity %</w:t>
            </w:r>
          </w:p>
        </w:tc>
        <w:tc>
          <w:tcPr>
            <w:tcW w:type="dxa" w:w="2422"/>
            <w:shd w:val="clear" w:color="auto" w:fill="FFFFFF"/>
          </w:tcPr>
          <w:p>
            <w:pPr>
              <w:spacing w:before="20" w:after="20"/>
              <w:jc w:val="center"/>
            </w:pPr>
            <w:r>
              <w:rPr>
                <w:rFonts w:ascii="Calibri" w:hAnsi="Calibri"/>
                <w:b w:val="0"/>
                <w:i w:val="0"/>
                <w:sz w:val="18"/>
              </w:rPr>
              <w:t>0.00%</w:t>
            </w:r>
          </w:p>
        </w:tc>
        <w:tc>
          <w:tcPr>
            <w:tcW w:type="dxa" w:w="2422"/>
            <w:shd w:val="clear" w:color="auto" w:fill="FFFFFF"/>
          </w:tcPr>
          <w:p>
            <w:pPr>
              <w:spacing w:before="20" w:after="20"/>
              <w:jc w:val="left"/>
            </w:pPr>
            <w:r>
              <w:rPr>
                <w:rFonts w:ascii="Calibri" w:hAnsi="Calibri"/>
                <w:b w:val="0"/>
                <w:i w:val="0"/>
                <w:sz w:val="18"/>
              </w:rPr>
              <w:t>Higher is better (informational)</w:t>
            </w:r>
          </w:p>
        </w:tc>
        <w:tc>
          <w:tcPr>
            <w:tcW w:type="dxa" w:w="2422"/>
            <w:shd w:val="clear" w:color="auto" w:fill="FFFFFF"/>
          </w:tcPr>
          <w:p>
            <w:pPr>
              <w:spacing w:before="20" w:after="20"/>
              <w:jc w:val="center"/>
            </w:pPr>
            <w:r>
              <w:rPr>
                <w:rFonts w:ascii="Calibri" w:hAnsi="Calibri"/>
                <w:b/>
                <w:i w:val="0"/>
                <w:color w:val="404040"/>
                <w:sz w:val="18"/>
              </w:rPr>
              <w:t>~</w:t>
            </w:r>
          </w:p>
        </w:tc>
      </w:tr>
      <w:tr>
        <w:tc>
          <w:tcPr>
            <w:tcW w:type="dxa" w:w="2422"/>
            <w:shd w:val="clear" w:color="auto" w:fill="F2F2F2"/>
          </w:tcPr>
          <w:p>
            <w:pPr>
              <w:spacing w:before="20" w:after="20"/>
              <w:jc w:val="left"/>
            </w:pPr>
            <w:r>
              <w:rPr>
                <w:rFonts w:ascii="Calibri" w:hAnsi="Calibri"/>
                <w:b w:val="0"/>
                <w:i w:val="0"/>
                <w:sz w:val="18"/>
              </w:rPr>
              <w:t>Composite Score /100</w:t>
            </w:r>
          </w:p>
        </w:tc>
        <w:tc>
          <w:tcPr>
            <w:tcW w:type="dxa" w:w="2422"/>
            <w:shd w:val="clear" w:color="auto" w:fill="F2F2F2"/>
          </w:tcPr>
          <w:p>
            <w:pPr>
              <w:spacing w:before="20" w:after="20"/>
              <w:jc w:val="center"/>
            </w:pPr>
            <w:r>
              <w:rPr>
                <w:rFonts w:ascii="Calibri" w:hAnsi="Calibri"/>
                <w:b w:val="0"/>
                <w:i w:val="0"/>
                <w:sz w:val="18"/>
              </w:rPr>
              <w:t>92.56</w:t>
            </w:r>
          </w:p>
        </w:tc>
        <w:tc>
          <w:tcPr>
            <w:tcW w:type="dxa" w:w="2422"/>
            <w:shd w:val="clear" w:color="auto" w:fill="F2F2F2"/>
          </w:tcPr>
          <w:p>
            <w:pPr>
              <w:spacing w:before="20" w:after="20"/>
              <w:jc w:val="left"/>
            </w:pPr>
            <w:r>
              <w:rPr>
                <w:rFonts w:ascii="Calibri" w:hAnsi="Calibri"/>
                <w:b w:val="0"/>
                <w:i w:val="0"/>
                <w:sz w:val="18"/>
              </w:rPr>
              <w:t>Higher is better</w:t>
            </w:r>
          </w:p>
        </w:tc>
        <w:tc>
          <w:tcPr>
            <w:tcW w:type="dxa" w:w="2422"/>
            <w:shd w:val="clear" w:color="auto" w:fill="F2F2F2"/>
          </w:tcPr>
          <w:p>
            <w:pPr>
              <w:spacing w:before="20" w:after="20"/>
              <w:jc w:val="center"/>
            </w:pPr>
            <w:r>
              <w:rPr>
                <w:rFonts w:ascii="Calibri" w:hAnsi="Calibri"/>
                <w:b/>
                <w:i w:val="0"/>
                <w:color w:val="404040"/>
                <w:sz w:val="18"/>
              </w:rPr>
              <w:t>~</w:t>
            </w:r>
          </w:p>
        </w:tc>
      </w:tr>
      <w:tr>
        <w:tc>
          <w:tcPr>
            <w:tcW w:type="dxa" w:w="2422"/>
            <w:shd w:val="clear" w:color="auto" w:fill="BDD7EE"/>
          </w:tcPr>
          <w:p>
            <w:pPr>
              <w:spacing w:before="20" w:after="20"/>
              <w:jc w:val="left"/>
            </w:pPr>
            <w:r>
              <w:rPr>
                <w:rFonts w:ascii="Calibri" w:hAnsi="Calibri"/>
                <w:b w:val="0"/>
                <w:i w:val="0"/>
                <w:sz w:val="18"/>
              </w:rPr>
              <w:t>Final Rank</w:t>
            </w:r>
          </w:p>
        </w:tc>
        <w:tc>
          <w:tcPr>
            <w:tcW w:type="dxa" w:w="2422"/>
            <w:shd w:val="clear" w:color="auto" w:fill="BDD7EE"/>
          </w:tcPr>
          <w:p>
            <w:pPr>
              <w:spacing w:before="20" w:after="20"/>
              <w:jc w:val="center"/>
            </w:pPr>
            <w:r>
              <w:rPr>
                <w:rFonts w:ascii="Calibri" w:hAnsi="Calibri"/>
                <w:b w:val="0"/>
                <w:i w:val="0"/>
                <w:sz w:val="18"/>
              </w:rPr>
              <w:t>3 / 9</w:t>
            </w:r>
          </w:p>
        </w:tc>
        <w:tc>
          <w:tcPr>
            <w:tcW w:type="dxa" w:w="2422"/>
            <w:shd w:val="clear" w:color="auto" w:fill="BDD7EE"/>
          </w:tcPr>
          <w:p>
            <w:pPr>
              <w:spacing w:before="20" w:after="20"/>
              <w:jc w:val="left"/>
            </w:pPr>
            <w:r>
              <w:rPr>
                <w:rFonts w:ascii="Calibri" w:hAnsi="Calibri"/>
                <w:b w:val="0"/>
                <w:i w:val="0"/>
                <w:sz w:val="18"/>
              </w:rPr>
              <w:t>Lower is better</w:t>
            </w:r>
          </w:p>
        </w:tc>
        <w:tc>
          <w:tcPr>
            <w:tcW w:type="dxa" w:w="2422"/>
            <w:shd w:val="clear" w:color="auto" w:fill="BDD7EE"/>
          </w:tcPr>
          <w:p>
            <w:pPr>
              <w:spacing w:before="20" w:after="20"/>
              <w:jc w:val="center"/>
            </w:pPr>
            <w:r>
              <w:rPr>
                <w:rFonts w:ascii="Calibri" w:hAnsi="Calibri"/>
                <w:b/>
                <w:i w:val="0"/>
                <w:color w:val="70AD47"/>
                <w:sz w:val="18"/>
              </w:rPr>
              <w:t>✓</w:t>
            </w:r>
          </w:p>
        </w:tc>
      </w:tr>
    </w:tbl>
    <w:p>
      <w:r>
        <w:br w:type="page"/>
      </w:r>
    </w:p>
    <w:p>
      <w:pPr>
        <w:pStyle w:val="Heading2"/>
      </w:pPr>
      <w:r>
        <w:rPr>
          <w:color w:val="1F3564"/>
        </w:rPr>
        <w:t>E04 – Dense RAG (Semantic Retrieval)</w:t>
      </w:r>
    </w:p>
    <w:p>
      <w:pPr>
        <w:spacing w:before="120" w:after="40"/>
      </w:pPr>
      <w:r>
        <w:rPr>
          <w:rFonts w:ascii="Calibri" w:hAnsi="Calibri"/>
          <w:b/>
          <w:color w:val="2E74B5"/>
          <w:sz w:val="21"/>
        </w:rPr>
        <w:t>Goal</w:t>
      </w:r>
    </w:p>
    <w:p>
      <w:pPr>
        <w:spacing w:before="40" w:after="40"/>
      </w:pPr>
      <w:r>
        <w:rPr>
          <w:rFonts w:ascii="Calibri" w:hAnsi="Calibri"/>
          <w:b w:val="0"/>
          <w:i w:val="0"/>
          <w:sz w:val="21"/>
        </w:rPr>
        <w:t>This experiment evaluates the usefulness of semantic retrieval for grounding LLM-generated Terraform code in real-world patterns. Sentence embeddings from the all-MiniLM-L6-v2 model are used to retrieve the most semantically similar TerraDS examples from ChromaDB, which are then appended as generation context.</w:t>
      </w:r>
    </w:p>
    <w:p>
      <w:pPr>
        <w:spacing w:before="40" w:after="40"/>
      </w:pPr>
      <w:r>
        <w:rPr>
          <w:rFonts w:ascii="Calibri" w:hAnsi="Calibri"/>
          <w:b/>
          <w:i w:val="0"/>
          <w:sz w:val="20"/>
        </w:rPr>
        <w:t>Primary Evaluation Focus: Resource Coverage, Code Similarity, Dependency Correctness</w:t>
      </w:r>
    </w:p>
    <w:p>
      <w:pPr>
        <w:spacing w:before="120" w:after="40"/>
      </w:pPr>
      <w:r>
        <w:rPr>
          <w:rFonts w:ascii="Calibri" w:hAnsi="Calibri"/>
          <w:b/>
          <w:color w:val="2E74B5"/>
          <w:sz w:val="21"/>
        </w:rPr>
        <w:t>Implementation Steps</w:t>
      </w:r>
    </w:p>
    <w:p>
      <w:pPr>
        <w:pStyle w:val="ListBullet"/>
        <w:spacing w:before="20" w:after="20"/>
      </w:pPr>
      <w:r>
        <w:rPr>
          <w:rFonts w:ascii="Calibri" w:hAnsi="Calibri"/>
          <w:sz w:val="20"/>
        </w:rPr>
        <w:t>A ChromaDB vector index was built over TerraDS Terraform source files using the all-MiniLM-L6-v2 embedding model.</w:t>
      </w:r>
    </w:p>
    <w:p>
      <w:pPr>
        <w:pStyle w:val="ListBullet"/>
        <w:spacing w:before="20" w:after="20"/>
      </w:pPr>
      <w:r>
        <w:rPr>
          <w:rFonts w:ascii="Calibri" w:hAnsi="Calibri"/>
          <w:sz w:val="20"/>
        </w:rPr>
        <w:t>Each test prompt was embedded and the top-k most semantically similar Terraform modules were retrieved from ChromaDB.</w:t>
      </w:r>
    </w:p>
    <w:p>
      <w:pPr>
        <w:pStyle w:val="ListBullet"/>
        <w:spacing w:before="20" w:after="20"/>
      </w:pPr>
      <w:r>
        <w:rPr>
          <w:rFonts w:ascii="Calibri" w:hAnsi="Calibri"/>
          <w:sz w:val="20"/>
        </w:rPr>
        <w:t>Retrieved modules were appended to the prompt as context before the generation instruction.</w:t>
      </w:r>
    </w:p>
    <w:p>
      <w:pPr>
        <w:pStyle w:val="ListBullet"/>
        <w:spacing w:before="20" w:after="20"/>
      </w:pPr>
      <w:r>
        <w:rPr>
          <w:rFonts w:ascii="Calibri" w:hAnsi="Calibri"/>
          <w:sz w:val="20"/>
        </w:rPr>
        <w:t>The enriched prompt was passed to LLaMA 3.3 70B and the generated code was collected.</w:t>
      </w:r>
    </w:p>
    <w:p>
      <w:pPr>
        <w:pStyle w:val="ListBullet"/>
        <w:spacing w:before="20" w:after="20"/>
      </w:pPr>
      <w:r>
        <w:rPr>
          <w:rFonts w:ascii="Calibri" w:hAnsi="Calibri"/>
          <w:sz w:val="20"/>
        </w:rPr>
        <w:t>All ten offline evaluation metrics were computed and stored in E04_DenseRAG_results.json.</w:t>
      </w:r>
    </w:p>
    <w:p>
      <w:pPr>
        <w:spacing w:before="120" w:after="40"/>
      </w:pPr>
      <w:r>
        <w:rPr>
          <w:rFonts w:ascii="Calibri" w:hAnsi="Calibri"/>
          <w:b/>
          <w:color w:val="2E74B5"/>
          <w:sz w:val="21"/>
        </w:rPr>
        <w:t>Results Discussion</w:t>
      </w:r>
    </w:p>
    <w:p>
      <w:pPr>
        <w:pStyle w:val="ListBullet"/>
        <w:spacing w:before="20" w:after="20"/>
      </w:pPr>
      <w:r>
        <w:rPr>
          <w:rFonts w:ascii="Calibri" w:hAnsi="Calibri"/>
          <w:b/>
          <w:sz w:val="20"/>
        </w:rPr>
        <w:t xml:space="preserve">HCL Syntax Validity (100%): </w:t>
      </w:r>
      <w:r>
        <w:rPr>
          <w:rFonts w:ascii="Calibri" w:hAnsi="Calibri"/>
          <w:sz w:val="20"/>
        </w:rPr>
        <w:t>Perfect syntax validity — retrieved context reinforces correct block structure.</w:t>
      </w:r>
    </w:p>
    <w:p>
      <w:pPr>
        <w:pStyle w:val="ListBullet"/>
        <w:spacing w:before="20" w:after="20"/>
      </w:pPr>
      <w:r>
        <w:rPr>
          <w:rFonts w:ascii="Calibri" w:hAnsi="Calibri"/>
          <w:b/>
          <w:sz w:val="20"/>
        </w:rPr>
        <w:t xml:space="preserve">Terraform Format Pass (100%): </w:t>
      </w:r>
      <w:r>
        <w:rPr>
          <w:rFonts w:ascii="Calibri" w:hAnsi="Calibri"/>
          <w:sz w:val="20"/>
        </w:rPr>
        <w:t>All outputs passed formatting checks, consistent with other retrieval experiments.</w:t>
      </w:r>
    </w:p>
    <w:p>
      <w:pPr>
        <w:pStyle w:val="ListBullet"/>
        <w:spacing w:before="20" w:after="20"/>
      </w:pPr>
      <w:r>
        <w:rPr>
          <w:rFonts w:ascii="Calibri" w:hAnsi="Calibri"/>
          <w:b/>
          <w:sz w:val="20"/>
        </w:rPr>
        <w:t xml:space="preserve">Terraform Validation Pass (99.33%): </w:t>
      </w:r>
      <w:r>
        <w:rPr>
          <w:rFonts w:ascii="Calibri" w:hAnsi="Calibri"/>
          <w:sz w:val="20"/>
        </w:rPr>
        <w:t>Slight drop from 100% — longer prompts with retrieved context may occasionally introduce ambiguity in required arguments.</w:t>
      </w:r>
    </w:p>
    <w:p>
      <w:pPr>
        <w:pStyle w:val="ListBullet"/>
        <w:spacing w:before="20" w:after="20"/>
      </w:pPr>
      <w:r>
        <w:rPr>
          <w:rFonts w:ascii="Calibri" w:hAnsi="Calibri"/>
          <w:b/>
          <w:sz w:val="20"/>
        </w:rPr>
        <w:t xml:space="preserve">Provider Correctness (100%): </w:t>
      </w:r>
      <w:r>
        <w:rPr>
          <w:rFonts w:ascii="Calibri" w:hAnsi="Calibri"/>
          <w:sz w:val="20"/>
        </w:rPr>
        <w:t>Perfect provider correctness. Semantic retrieval naturally returns provider-matched examples.</w:t>
      </w:r>
    </w:p>
    <w:p>
      <w:pPr>
        <w:pStyle w:val="ListBullet"/>
        <w:spacing w:before="20" w:after="20"/>
      </w:pPr>
      <w:r>
        <w:rPr>
          <w:rFonts w:ascii="Calibri" w:hAnsi="Calibri"/>
          <w:b/>
          <w:sz w:val="20"/>
        </w:rPr>
        <w:t xml:space="preserve">Resource Coverage (91.0%): </w:t>
      </w:r>
      <w:r>
        <w:rPr>
          <w:rFonts w:ascii="Calibri" w:hAnsi="Calibri"/>
          <w:sz w:val="20"/>
        </w:rPr>
        <w:t>Best resource coverage outside of E07 and E08, up from 89.33% in few-shot. Semantically similar modules contain the supporting resources needed.</w:t>
      </w:r>
    </w:p>
    <w:p>
      <w:pPr>
        <w:pStyle w:val="ListBullet"/>
        <w:spacing w:before="20" w:after="20"/>
      </w:pPr>
      <w:r>
        <w:rPr>
          <w:rFonts w:ascii="Calibri" w:hAnsi="Calibri"/>
          <w:b/>
          <w:sz w:val="20"/>
        </w:rPr>
        <w:t xml:space="preserve">Dependency Score (96.38%): </w:t>
      </w:r>
      <w:r>
        <w:rPr>
          <w:rFonts w:ascii="Calibri" w:hAnsi="Calibri"/>
          <w:sz w:val="20"/>
        </w:rPr>
        <w:t>Lower than baseline — dense retrieval context focuses on resource presence rather than dependency relationships.</w:t>
      </w:r>
    </w:p>
    <w:p>
      <w:pPr>
        <w:pStyle w:val="ListBullet"/>
        <w:spacing w:before="20" w:after="20"/>
      </w:pPr>
      <w:r>
        <w:rPr>
          <w:rFonts w:ascii="Calibri" w:hAnsi="Calibri"/>
          <w:b/>
          <w:sz w:val="20"/>
        </w:rPr>
        <w:t xml:space="preserve">Security Issues (0.1467 per sample): </w:t>
      </w:r>
      <w:r>
        <w:rPr>
          <w:rFonts w:ascii="Calibri" w:hAnsi="Calibri"/>
          <w:sz w:val="20"/>
        </w:rPr>
        <w:t>Improved security profile compared to E01–E03. Semantically similar modules may include better security configurations.</w:t>
      </w:r>
    </w:p>
    <w:p>
      <w:pPr>
        <w:pStyle w:val="ListBullet"/>
        <w:spacing w:before="20" w:after="20"/>
      </w:pPr>
      <w:r>
        <w:rPr>
          <w:rFonts w:ascii="Calibri" w:hAnsi="Calibri"/>
          <w:b/>
          <w:sz w:val="20"/>
        </w:rPr>
        <w:t xml:space="preserve">Code Similarity (12.04%): </w:t>
      </w:r>
      <w:r>
        <w:rPr>
          <w:rFonts w:ascii="Calibri" w:hAnsi="Calibri"/>
          <w:sz w:val="20"/>
        </w:rPr>
        <w:t>First experiment to show meaningful code similarity, confirming that dense retrieval grounds the output in real TerraDS patterns.</w:t>
      </w:r>
    </w:p>
    <w:p>
      <w:pPr>
        <w:pStyle w:val="ListBullet"/>
        <w:spacing w:before="20" w:after="20"/>
      </w:pPr>
      <w:r>
        <w:rPr>
          <w:rFonts w:ascii="Calibri" w:hAnsi="Calibri"/>
          <w:b/>
          <w:sz w:val="20"/>
        </w:rPr>
        <w:t xml:space="preserve">Best-Practice Score (44.96%): </w:t>
      </w:r>
      <w:r>
        <w:rPr>
          <w:rFonts w:ascii="Calibri" w:hAnsi="Calibri"/>
          <w:sz w:val="20"/>
        </w:rPr>
        <w:t>Reasonable improvement — retrieved modules expose the model to variables, tags, and structured output.</w:t>
      </w:r>
    </w:p>
    <w:p>
      <w:pPr>
        <w:pStyle w:val="ListBullet"/>
        <w:spacing w:before="20" w:after="20"/>
      </w:pPr>
      <w:r>
        <w:rPr>
          <w:rFonts w:ascii="Calibri" w:hAnsi="Calibri"/>
          <w:b/>
          <w:sz w:val="20"/>
        </w:rPr>
        <w:t xml:space="preserve">Final Weighted Score (92.53 / Rank 5): </w:t>
      </w:r>
      <w:r>
        <w:rPr>
          <w:rFonts w:ascii="Calibri" w:hAnsi="Calibri"/>
          <w:sz w:val="20"/>
        </w:rPr>
        <w:t>Strong mid-tier result. Dense RAG clearly improves resource coverage and code similarity but does not yet address dependency quality.</w:t>
      </w:r>
    </w:p>
    <w:p>
      <w:pPr>
        <w:spacing w:before="120" w:after="40"/>
      </w:pPr>
      <w:r>
        <w:rPr>
          <w:rFonts w:ascii="Calibri" w:hAnsi="Calibri"/>
          <w:b/>
          <w:color w:val="2E74B5"/>
          <w:sz w:val="21"/>
        </w:rPr>
        <w:t>Advantages</w:t>
      </w:r>
    </w:p>
    <w:p>
      <w:pPr>
        <w:pStyle w:val="ListBullet"/>
        <w:spacing w:before="20" w:after="20"/>
      </w:pPr>
      <w:r>
        <w:rPr>
          <w:rFonts w:ascii="Calibri" w:hAnsi="Calibri"/>
          <w:sz w:val="20"/>
        </w:rPr>
        <w:t>Significant improvement in resource coverage through semantically relevant retrieval context.</w:t>
      </w:r>
    </w:p>
    <w:p>
      <w:pPr>
        <w:pStyle w:val="ListBullet"/>
        <w:spacing w:before="20" w:after="20"/>
      </w:pPr>
      <w:r>
        <w:rPr>
          <w:rFonts w:ascii="Calibri" w:hAnsi="Calibri"/>
          <w:sz w:val="20"/>
        </w:rPr>
        <w:t>First experiment to achieve meaningful code similarity scores, grounding outputs in real TerraDS patterns.</w:t>
      </w:r>
    </w:p>
    <w:p>
      <w:pPr>
        <w:pStyle w:val="ListBullet"/>
        <w:spacing w:before="20" w:after="20"/>
      </w:pPr>
      <w:r>
        <w:rPr>
          <w:rFonts w:ascii="Calibri" w:hAnsi="Calibri"/>
          <w:sz w:val="20"/>
        </w:rPr>
        <w:t>Reduced security issue count compared to prompt-only experiments.</w:t>
      </w:r>
    </w:p>
    <w:p>
      <w:pPr>
        <w:spacing w:before="120" w:after="40"/>
      </w:pPr>
      <w:r>
        <w:rPr>
          <w:rFonts w:ascii="Calibri" w:hAnsi="Calibri"/>
          <w:b/>
          <w:color w:val="2E74B5"/>
          <w:sz w:val="21"/>
        </w:rPr>
        <w:t>Disadvantages</w:t>
      </w:r>
    </w:p>
    <w:p>
      <w:pPr>
        <w:pStyle w:val="ListBullet"/>
        <w:spacing w:before="20" w:after="20"/>
      </w:pPr>
      <w:r>
        <w:rPr>
          <w:rFonts w:ascii="Calibri" w:hAnsi="Calibri"/>
          <w:sz w:val="20"/>
        </w:rPr>
        <w:t>ChromaDB vector index requires substantial preprocessing and storage compared to prompt-only approaches.</w:t>
      </w:r>
    </w:p>
    <w:p>
      <w:pPr>
        <w:pStyle w:val="ListBullet"/>
        <w:spacing w:before="20" w:after="20"/>
      </w:pPr>
      <w:r>
        <w:rPr>
          <w:rFonts w:ascii="Calibri" w:hAnsi="Calibri"/>
          <w:sz w:val="20"/>
        </w:rPr>
        <w:t>Dependency score decreases — retrieved examples do not specifically target resource connectivity.</w:t>
      </w:r>
    </w:p>
    <w:p>
      <w:pPr>
        <w:pStyle w:val="ListBullet"/>
        <w:spacing w:before="20" w:after="20"/>
      </w:pPr>
      <w:r>
        <w:rPr>
          <w:rFonts w:ascii="Calibri" w:hAnsi="Calibri"/>
          <w:sz w:val="20"/>
        </w:rPr>
        <w:t>Validation pass rate drops slightly due to longer, more complex prompts with retrieved context.</w:t>
      </w:r>
    </w:p>
    <w:p>
      <w:pPr>
        <w:spacing w:before="120" w:after="40"/>
      </w:pPr>
      <w:r>
        <w:rPr>
          <w:rFonts w:ascii="Calibri" w:hAnsi="Calibri"/>
          <w:b/>
          <w:color w:val="2E74B5"/>
          <w:sz w:val="21"/>
        </w:rPr>
        <w:t>Main Results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F3564"/>
          </w:tcPr>
          <w:p>
            <w:pPr>
              <w:spacing w:before="20" w:after="20"/>
              <w:jc w:val="center"/>
            </w:pPr>
            <w:r>
              <w:rPr>
                <w:rFonts w:ascii="Calibri" w:hAnsi="Calibri"/>
                <w:b/>
                <w:i w:val="0"/>
                <w:color w:val="FFFFFF"/>
                <w:sz w:val="18"/>
              </w:rPr>
              <w:t>Metric</w:t>
            </w:r>
          </w:p>
        </w:tc>
        <w:tc>
          <w:tcPr>
            <w:tcW w:type="dxa" w:w="2422"/>
            <w:shd w:val="clear" w:color="auto" w:fill="1F3564"/>
          </w:tcPr>
          <w:p>
            <w:pPr>
              <w:spacing w:before="20" w:after="20"/>
              <w:jc w:val="center"/>
            </w:pPr>
            <w:r>
              <w:rPr>
                <w:rFonts w:ascii="Calibri" w:hAnsi="Calibri"/>
                <w:b/>
                <w:i w:val="0"/>
                <w:color w:val="FFFFFF"/>
                <w:sz w:val="18"/>
              </w:rPr>
              <w:t>Value</w:t>
            </w:r>
          </w:p>
        </w:tc>
        <w:tc>
          <w:tcPr>
            <w:tcW w:type="dxa" w:w="2422"/>
            <w:shd w:val="clear" w:color="auto" w:fill="1F3564"/>
          </w:tcPr>
          <w:p>
            <w:pPr>
              <w:spacing w:before="20" w:after="20"/>
              <w:jc w:val="center"/>
            </w:pPr>
            <w:r>
              <w:rPr>
                <w:rFonts w:ascii="Calibri" w:hAnsi="Calibri"/>
                <w:b/>
                <w:i w:val="0"/>
                <w:color w:val="FFFFFF"/>
                <w:sz w:val="18"/>
              </w:rPr>
              <w:t>Direction</w:t>
            </w:r>
          </w:p>
        </w:tc>
        <w:tc>
          <w:tcPr>
            <w:tcW w:type="dxa" w:w="2422"/>
            <w:shd w:val="clear" w:color="auto" w:fill="1F3564"/>
          </w:tcPr>
          <w:p>
            <w:pPr>
              <w:spacing w:before="20" w:after="20"/>
              <w:jc w:val="center"/>
            </w:pPr>
            <w:r>
              <w:rPr>
                <w:rFonts w:ascii="Calibri" w:hAnsi="Calibri"/>
                <w:b/>
                <w:i w:val="0"/>
                <w:color w:val="FFFFFF"/>
                <w:sz w:val="18"/>
              </w:rPr>
              <w:t>Status</w:t>
            </w:r>
          </w:p>
        </w:tc>
      </w:tr>
      <w:tr>
        <w:tc>
          <w:tcPr>
            <w:tcW w:type="dxa" w:w="2422"/>
            <w:shd w:val="clear" w:color="auto" w:fill="BDD7EE"/>
          </w:tcPr>
          <w:p>
            <w:pPr>
              <w:spacing w:before="20" w:after="20"/>
              <w:jc w:val="left"/>
            </w:pPr>
            <w:r>
              <w:rPr>
                <w:rFonts w:ascii="Calibri" w:hAnsi="Calibri"/>
                <w:b w:val="0"/>
                <w:i w:val="0"/>
                <w:sz w:val="18"/>
              </w:rPr>
              <w:t>HCL Syntax Validity %</w:t>
            </w:r>
          </w:p>
        </w:tc>
        <w:tc>
          <w:tcPr>
            <w:tcW w:type="dxa" w:w="2422"/>
            <w:shd w:val="clear" w:color="auto" w:fill="BDD7EE"/>
          </w:tcPr>
          <w:p>
            <w:pPr>
              <w:spacing w:before="20" w:after="20"/>
              <w:jc w:val="center"/>
            </w:pPr>
            <w:r>
              <w:rPr>
                <w:rFonts w:ascii="Calibri" w:hAnsi="Calibri"/>
                <w:b w:val="0"/>
                <w:i w:val="0"/>
                <w:sz w:val="18"/>
              </w:rPr>
              <w:t>100.00%</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Terraform Format Pass %</w:t>
            </w:r>
          </w:p>
        </w:tc>
        <w:tc>
          <w:tcPr>
            <w:tcW w:type="dxa" w:w="2422"/>
            <w:shd w:val="clear" w:color="auto" w:fill="BDD7EE"/>
          </w:tcPr>
          <w:p>
            <w:pPr>
              <w:spacing w:before="20" w:after="20"/>
              <w:jc w:val="center"/>
            </w:pPr>
            <w:r>
              <w:rPr>
                <w:rFonts w:ascii="Calibri" w:hAnsi="Calibri"/>
                <w:b w:val="0"/>
                <w:i w:val="0"/>
                <w:sz w:val="18"/>
              </w:rPr>
              <w:t>100.00%</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Terraform Validation Pass %</w:t>
            </w:r>
          </w:p>
        </w:tc>
        <w:tc>
          <w:tcPr>
            <w:tcW w:type="dxa" w:w="2422"/>
            <w:shd w:val="clear" w:color="auto" w:fill="BDD7EE"/>
          </w:tcPr>
          <w:p>
            <w:pPr>
              <w:spacing w:before="20" w:after="20"/>
              <w:jc w:val="center"/>
            </w:pPr>
            <w:r>
              <w:rPr>
                <w:rFonts w:ascii="Calibri" w:hAnsi="Calibri"/>
                <w:b w:val="0"/>
                <w:i w:val="0"/>
                <w:sz w:val="18"/>
              </w:rPr>
              <w:t>99.33%</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Provider Correctness %</w:t>
            </w:r>
          </w:p>
        </w:tc>
        <w:tc>
          <w:tcPr>
            <w:tcW w:type="dxa" w:w="2422"/>
            <w:shd w:val="clear" w:color="auto" w:fill="BDD7EE"/>
          </w:tcPr>
          <w:p>
            <w:pPr>
              <w:spacing w:before="20" w:after="20"/>
              <w:jc w:val="center"/>
            </w:pPr>
            <w:r>
              <w:rPr>
                <w:rFonts w:ascii="Calibri" w:hAnsi="Calibri"/>
                <w:b w:val="0"/>
                <w:i w:val="0"/>
                <w:sz w:val="18"/>
              </w:rPr>
              <w:t>100.00%</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Resource Coverage %</w:t>
            </w:r>
          </w:p>
        </w:tc>
        <w:tc>
          <w:tcPr>
            <w:tcW w:type="dxa" w:w="2422"/>
            <w:shd w:val="clear" w:color="auto" w:fill="BDD7EE"/>
          </w:tcPr>
          <w:p>
            <w:pPr>
              <w:spacing w:before="20" w:after="20"/>
              <w:jc w:val="center"/>
            </w:pPr>
            <w:r>
              <w:rPr>
                <w:rFonts w:ascii="Calibri" w:hAnsi="Calibri"/>
                <w:b w:val="0"/>
                <w:i w:val="0"/>
                <w:sz w:val="18"/>
              </w:rPr>
              <w:t>91.00%</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FFFFFF"/>
          </w:tcPr>
          <w:p>
            <w:pPr>
              <w:spacing w:before="20" w:after="20"/>
              <w:jc w:val="left"/>
            </w:pPr>
            <w:r>
              <w:rPr>
                <w:rFonts w:ascii="Calibri" w:hAnsi="Calibri"/>
                <w:b w:val="0"/>
                <w:i w:val="0"/>
                <w:sz w:val="18"/>
              </w:rPr>
              <w:t>Dependency Score %</w:t>
            </w:r>
          </w:p>
        </w:tc>
        <w:tc>
          <w:tcPr>
            <w:tcW w:type="dxa" w:w="2422"/>
            <w:shd w:val="clear" w:color="auto" w:fill="FFFFFF"/>
          </w:tcPr>
          <w:p>
            <w:pPr>
              <w:spacing w:before="20" w:after="20"/>
              <w:jc w:val="center"/>
            </w:pPr>
            <w:r>
              <w:rPr>
                <w:rFonts w:ascii="Calibri" w:hAnsi="Calibri"/>
                <w:b w:val="0"/>
                <w:i w:val="0"/>
                <w:sz w:val="18"/>
              </w:rPr>
              <w:t>96.38%</w:t>
            </w:r>
          </w:p>
        </w:tc>
        <w:tc>
          <w:tcPr>
            <w:tcW w:type="dxa" w:w="2422"/>
            <w:shd w:val="clear" w:color="auto" w:fill="FFFFFF"/>
          </w:tcPr>
          <w:p>
            <w:pPr>
              <w:spacing w:before="20" w:after="20"/>
              <w:jc w:val="left"/>
            </w:pPr>
            <w:r>
              <w:rPr>
                <w:rFonts w:ascii="Calibri" w:hAnsi="Calibri"/>
                <w:b w:val="0"/>
                <w:i w:val="0"/>
                <w:sz w:val="18"/>
              </w:rPr>
              <w:t>Higher is better</w:t>
            </w:r>
          </w:p>
        </w:tc>
        <w:tc>
          <w:tcPr>
            <w:tcW w:type="dxa" w:w="2422"/>
            <w:shd w:val="clear" w:color="auto" w:fill="FFFFFF"/>
          </w:tcPr>
          <w:p>
            <w:pPr>
              <w:spacing w:before="20" w:after="20"/>
              <w:jc w:val="center"/>
            </w:pPr>
            <w:r>
              <w:rPr>
                <w:rFonts w:ascii="Calibri" w:hAnsi="Calibri"/>
                <w:b/>
                <w:i w:val="0"/>
                <w:color w:val="404040"/>
                <w:sz w:val="18"/>
              </w:rPr>
              <w:t>~</w:t>
            </w:r>
          </w:p>
        </w:tc>
      </w:tr>
      <w:tr>
        <w:tc>
          <w:tcPr>
            <w:tcW w:type="dxa" w:w="2422"/>
            <w:shd w:val="clear" w:color="auto" w:fill="BDD7EE"/>
          </w:tcPr>
          <w:p>
            <w:pPr>
              <w:spacing w:before="20" w:after="20"/>
              <w:jc w:val="left"/>
            </w:pPr>
            <w:r>
              <w:rPr>
                <w:rFonts w:ascii="Calibri" w:hAnsi="Calibri"/>
                <w:b w:val="0"/>
                <w:i w:val="0"/>
                <w:sz w:val="18"/>
              </w:rPr>
              <w:t>Security Issues (avg)</w:t>
            </w:r>
          </w:p>
        </w:tc>
        <w:tc>
          <w:tcPr>
            <w:tcW w:type="dxa" w:w="2422"/>
            <w:shd w:val="clear" w:color="auto" w:fill="BDD7EE"/>
          </w:tcPr>
          <w:p>
            <w:pPr>
              <w:spacing w:before="20" w:after="20"/>
              <w:jc w:val="center"/>
            </w:pPr>
            <w:r>
              <w:rPr>
                <w:rFonts w:ascii="Calibri" w:hAnsi="Calibri"/>
                <w:b w:val="0"/>
                <w:i w:val="0"/>
                <w:sz w:val="18"/>
              </w:rPr>
              <w:t>0.1467</w:t>
            </w:r>
          </w:p>
        </w:tc>
        <w:tc>
          <w:tcPr>
            <w:tcW w:type="dxa" w:w="2422"/>
            <w:shd w:val="clear" w:color="auto" w:fill="BDD7EE"/>
          </w:tcPr>
          <w:p>
            <w:pPr>
              <w:spacing w:before="20" w:after="20"/>
              <w:jc w:val="left"/>
            </w:pPr>
            <w:r>
              <w:rPr>
                <w:rFonts w:ascii="Calibri" w:hAnsi="Calibri"/>
                <w:b w:val="0"/>
                <w:i w:val="0"/>
                <w:sz w:val="18"/>
              </w:rPr>
              <w:t>Lower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FFFFFF"/>
          </w:tcPr>
          <w:p>
            <w:pPr>
              <w:spacing w:before="20" w:after="20"/>
              <w:jc w:val="left"/>
            </w:pPr>
            <w:r>
              <w:rPr>
                <w:rFonts w:ascii="Calibri" w:hAnsi="Calibri"/>
                <w:b w:val="0"/>
                <w:i w:val="0"/>
                <w:sz w:val="18"/>
              </w:rPr>
              <w:t>Hardcoded Secrets (avg)</w:t>
            </w:r>
          </w:p>
        </w:tc>
        <w:tc>
          <w:tcPr>
            <w:tcW w:type="dxa" w:w="2422"/>
            <w:shd w:val="clear" w:color="auto" w:fill="FFFFFF"/>
          </w:tcPr>
          <w:p>
            <w:pPr>
              <w:spacing w:before="20" w:after="20"/>
              <w:jc w:val="center"/>
            </w:pPr>
            <w:r>
              <w:rPr>
                <w:rFonts w:ascii="Calibri" w:hAnsi="Calibri"/>
                <w:b w:val="0"/>
                <w:i w:val="0"/>
                <w:sz w:val="18"/>
              </w:rPr>
              <w:t>0.0100</w:t>
            </w:r>
          </w:p>
        </w:tc>
        <w:tc>
          <w:tcPr>
            <w:tcW w:type="dxa" w:w="2422"/>
            <w:shd w:val="clear" w:color="auto" w:fill="FFFFFF"/>
          </w:tcPr>
          <w:p>
            <w:pPr>
              <w:spacing w:before="20" w:after="20"/>
              <w:jc w:val="left"/>
            </w:pPr>
            <w:r>
              <w:rPr>
                <w:rFonts w:ascii="Calibri" w:hAnsi="Calibri"/>
                <w:b w:val="0"/>
                <w:i w:val="0"/>
                <w:sz w:val="18"/>
              </w:rPr>
              <w:t>Lower is better</w:t>
            </w:r>
          </w:p>
        </w:tc>
        <w:tc>
          <w:tcPr>
            <w:tcW w:type="dxa" w:w="2422"/>
            <w:shd w:val="clear" w:color="auto" w:fill="FFFFFF"/>
          </w:tcPr>
          <w:p>
            <w:pPr>
              <w:spacing w:before="20" w:after="20"/>
              <w:jc w:val="center"/>
            </w:pPr>
            <w:r>
              <w:rPr>
                <w:rFonts w:ascii="Calibri" w:hAnsi="Calibri"/>
                <w:b/>
                <w:i w:val="0"/>
                <w:color w:val="404040"/>
                <w:sz w:val="18"/>
              </w:rPr>
              <w:t>~</w:t>
            </w:r>
          </w:p>
        </w:tc>
      </w:tr>
      <w:tr>
        <w:tc>
          <w:tcPr>
            <w:tcW w:type="dxa" w:w="2422"/>
            <w:shd w:val="clear" w:color="auto" w:fill="F2F2F2"/>
          </w:tcPr>
          <w:p>
            <w:pPr>
              <w:spacing w:before="20" w:after="20"/>
              <w:jc w:val="left"/>
            </w:pPr>
            <w:r>
              <w:rPr>
                <w:rFonts w:ascii="Calibri" w:hAnsi="Calibri"/>
                <w:b w:val="0"/>
                <w:i w:val="0"/>
                <w:sz w:val="18"/>
              </w:rPr>
              <w:t>Best-Practice Score %</w:t>
            </w:r>
          </w:p>
        </w:tc>
        <w:tc>
          <w:tcPr>
            <w:tcW w:type="dxa" w:w="2422"/>
            <w:shd w:val="clear" w:color="auto" w:fill="F2F2F2"/>
          </w:tcPr>
          <w:p>
            <w:pPr>
              <w:spacing w:before="20" w:after="20"/>
              <w:jc w:val="center"/>
            </w:pPr>
            <w:r>
              <w:rPr>
                <w:rFonts w:ascii="Calibri" w:hAnsi="Calibri"/>
                <w:b w:val="0"/>
                <w:i w:val="0"/>
                <w:sz w:val="18"/>
              </w:rPr>
              <w:t>44.96%</w:t>
            </w:r>
          </w:p>
        </w:tc>
        <w:tc>
          <w:tcPr>
            <w:tcW w:type="dxa" w:w="2422"/>
            <w:shd w:val="clear" w:color="auto" w:fill="F2F2F2"/>
          </w:tcPr>
          <w:p>
            <w:pPr>
              <w:spacing w:before="20" w:after="20"/>
              <w:jc w:val="left"/>
            </w:pPr>
            <w:r>
              <w:rPr>
                <w:rFonts w:ascii="Calibri" w:hAnsi="Calibri"/>
                <w:b w:val="0"/>
                <w:i w:val="0"/>
                <w:sz w:val="18"/>
              </w:rPr>
              <w:t>Higher is better</w:t>
            </w:r>
          </w:p>
        </w:tc>
        <w:tc>
          <w:tcPr>
            <w:tcW w:type="dxa" w:w="2422"/>
            <w:shd w:val="clear" w:color="auto" w:fill="F2F2F2"/>
          </w:tcPr>
          <w:p>
            <w:pPr>
              <w:spacing w:before="20" w:after="20"/>
              <w:jc w:val="center"/>
            </w:pPr>
            <w:r>
              <w:rPr>
                <w:rFonts w:ascii="Calibri" w:hAnsi="Calibri"/>
                <w:b/>
                <w:i w:val="0"/>
                <w:color w:val="404040"/>
                <w:sz w:val="18"/>
              </w:rPr>
              <w:t>~</w:t>
            </w:r>
          </w:p>
        </w:tc>
      </w:tr>
      <w:tr>
        <w:tc>
          <w:tcPr>
            <w:tcW w:type="dxa" w:w="2422"/>
            <w:shd w:val="clear" w:color="auto" w:fill="BDD7EE"/>
          </w:tcPr>
          <w:p>
            <w:pPr>
              <w:spacing w:before="20" w:after="20"/>
              <w:jc w:val="left"/>
            </w:pPr>
            <w:r>
              <w:rPr>
                <w:rFonts w:ascii="Calibri" w:hAnsi="Calibri"/>
                <w:b w:val="0"/>
                <w:i w:val="0"/>
                <w:sz w:val="18"/>
              </w:rPr>
              <w:t>Code Similarity %</w:t>
            </w:r>
          </w:p>
        </w:tc>
        <w:tc>
          <w:tcPr>
            <w:tcW w:type="dxa" w:w="2422"/>
            <w:shd w:val="clear" w:color="auto" w:fill="BDD7EE"/>
          </w:tcPr>
          <w:p>
            <w:pPr>
              <w:spacing w:before="20" w:after="20"/>
              <w:jc w:val="center"/>
            </w:pPr>
            <w:r>
              <w:rPr>
                <w:rFonts w:ascii="Calibri" w:hAnsi="Calibri"/>
                <w:b w:val="0"/>
                <w:i w:val="0"/>
                <w:sz w:val="18"/>
              </w:rPr>
              <w:t>12.04%</w:t>
            </w:r>
          </w:p>
        </w:tc>
        <w:tc>
          <w:tcPr>
            <w:tcW w:type="dxa" w:w="2422"/>
            <w:shd w:val="clear" w:color="auto" w:fill="BDD7EE"/>
          </w:tcPr>
          <w:p>
            <w:pPr>
              <w:spacing w:before="20" w:after="20"/>
              <w:jc w:val="left"/>
            </w:pPr>
            <w:r>
              <w:rPr>
                <w:rFonts w:ascii="Calibri" w:hAnsi="Calibri"/>
                <w:b w:val="0"/>
                <w:i w:val="0"/>
                <w:sz w:val="18"/>
              </w:rPr>
              <w:t>Higher is better (informational)</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F2F2F2"/>
          </w:tcPr>
          <w:p>
            <w:pPr>
              <w:spacing w:before="20" w:after="20"/>
              <w:jc w:val="left"/>
            </w:pPr>
            <w:r>
              <w:rPr>
                <w:rFonts w:ascii="Calibri" w:hAnsi="Calibri"/>
                <w:b w:val="0"/>
                <w:i w:val="0"/>
                <w:sz w:val="18"/>
              </w:rPr>
              <w:t>Composite Score /100</w:t>
            </w:r>
          </w:p>
        </w:tc>
        <w:tc>
          <w:tcPr>
            <w:tcW w:type="dxa" w:w="2422"/>
            <w:shd w:val="clear" w:color="auto" w:fill="F2F2F2"/>
          </w:tcPr>
          <w:p>
            <w:pPr>
              <w:spacing w:before="20" w:after="20"/>
              <w:jc w:val="center"/>
            </w:pPr>
            <w:r>
              <w:rPr>
                <w:rFonts w:ascii="Calibri" w:hAnsi="Calibri"/>
                <w:b w:val="0"/>
                <w:i w:val="0"/>
                <w:sz w:val="18"/>
              </w:rPr>
              <w:t>92.53</w:t>
            </w:r>
          </w:p>
        </w:tc>
        <w:tc>
          <w:tcPr>
            <w:tcW w:type="dxa" w:w="2422"/>
            <w:shd w:val="clear" w:color="auto" w:fill="F2F2F2"/>
          </w:tcPr>
          <w:p>
            <w:pPr>
              <w:spacing w:before="20" w:after="20"/>
              <w:jc w:val="left"/>
            </w:pPr>
            <w:r>
              <w:rPr>
                <w:rFonts w:ascii="Calibri" w:hAnsi="Calibri"/>
                <w:b w:val="0"/>
                <w:i w:val="0"/>
                <w:sz w:val="18"/>
              </w:rPr>
              <w:t>Higher is better</w:t>
            </w:r>
          </w:p>
        </w:tc>
        <w:tc>
          <w:tcPr>
            <w:tcW w:type="dxa" w:w="2422"/>
            <w:shd w:val="clear" w:color="auto" w:fill="F2F2F2"/>
          </w:tcPr>
          <w:p>
            <w:pPr>
              <w:spacing w:before="20" w:after="20"/>
              <w:jc w:val="center"/>
            </w:pPr>
            <w:r>
              <w:rPr>
                <w:rFonts w:ascii="Calibri" w:hAnsi="Calibri"/>
                <w:b/>
                <w:i w:val="0"/>
                <w:color w:val="404040"/>
                <w:sz w:val="18"/>
              </w:rPr>
              <w:t>~</w:t>
            </w:r>
          </w:p>
        </w:tc>
      </w:tr>
      <w:tr>
        <w:tc>
          <w:tcPr>
            <w:tcW w:type="dxa" w:w="2422"/>
            <w:shd w:val="clear" w:color="auto" w:fill="FFFFFF"/>
          </w:tcPr>
          <w:p>
            <w:pPr>
              <w:spacing w:before="20" w:after="20"/>
              <w:jc w:val="left"/>
            </w:pPr>
            <w:r>
              <w:rPr>
                <w:rFonts w:ascii="Calibri" w:hAnsi="Calibri"/>
                <w:b w:val="0"/>
                <w:i w:val="0"/>
                <w:sz w:val="18"/>
              </w:rPr>
              <w:t>Final Rank</w:t>
            </w:r>
          </w:p>
        </w:tc>
        <w:tc>
          <w:tcPr>
            <w:tcW w:type="dxa" w:w="2422"/>
            <w:shd w:val="clear" w:color="auto" w:fill="FFFFFF"/>
          </w:tcPr>
          <w:p>
            <w:pPr>
              <w:spacing w:before="20" w:after="20"/>
              <w:jc w:val="center"/>
            </w:pPr>
            <w:r>
              <w:rPr>
                <w:rFonts w:ascii="Calibri" w:hAnsi="Calibri"/>
                <w:b w:val="0"/>
                <w:i w:val="0"/>
                <w:sz w:val="18"/>
              </w:rPr>
              <w:t>5 / 9</w:t>
            </w:r>
          </w:p>
        </w:tc>
        <w:tc>
          <w:tcPr>
            <w:tcW w:type="dxa" w:w="2422"/>
            <w:shd w:val="clear" w:color="auto" w:fill="FFFFFF"/>
          </w:tcPr>
          <w:p>
            <w:pPr>
              <w:spacing w:before="20" w:after="20"/>
              <w:jc w:val="left"/>
            </w:pPr>
            <w:r>
              <w:rPr>
                <w:rFonts w:ascii="Calibri" w:hAnsi="Calibri"/>
                <w:b w:val="0"/>
                <w:i w:val="0"/>
                <w:sz w:val="18"/>
              </w:rPr>
              <w:t>Lower is better</w:t>
            </w:r>
          </w:p>
        </w:tc>
        <w:tc>
          <w:tcPr>
            <w:tcW w:type="dxa" w:w="2422"/>
            <w:shd w:val="clear" w:color="auto" w:fill="FFFFFF"/>
          </w:tcPr>
          <w:p>
            <w:pPr>
              <w:spacing w:before="20" w:after="20"/>
              <w:jc w:val="center"/>
            </w:pPr>
            <w:r>
              <w:rPr>
                <w:rFonts w:ascii="Calibri" w:hAnsi="Calibri"/>
                <w:b/>
                <w:i w:val="0"/>
                <w:color w:val="404040"/>
                <w:sz w:val="18"/>
              </w:rPr>
              <w:t>~</w:t>
            </w:r>
          </w:p>
        </w:tc>
      </w:tr>
    </w:tbl>
    <w:p>
      <w:r>
        <w:br w:type="page"/>
      </w:r>
    </w:p>
    <w:p>
      <w:pPr>
        <w:pStyle w:val="Heading2"/>
      </w:pPr>
      <w:r>
        <w:rPr>
          <w:color w:val="1F3564"/>
        </w:rPr>
        <w:t>E05 – Sparse BM25 RAG</w:t>
      </w:r>
    </w:p>
    <w:p>
      <w:pPr>
        <w:spacing w:before="120" w:after="40"/>
      </w:pPr>
      <w:r>
        <w:rPr>
          <w:rFonts w:ascii="Calibri" w:hAnsi="Calibri"/>
          <w:b/>
          <w:color w:val="2E74B5"/>
          <w:sz w:val="21"/>
        </w:rPr>
        <w:t>Goal</w:t>
      </w:r>
    </w:p>
    <w:p>
      <w:pPr>
        <w:spacing w:before="40" w:after="40"/>
      </w:pPr>
      <w:r>
        <w:rPr>
          <w:rFonts w:ascii="Calibri" w:hAnsi="Calibri"/>
          <w:b w:val="0"/>
          <w:i w:val="0"/>
          <w:sz w:val="21"/>
        </w:rPr>
        <w:t>This experiment evaluates whether keyword-based BM25 retrieval improves Terraform code generation. BM25 retrieves TerraDS examples by exact term matching, which is effective when the prompt includes specific Terraform resource names, infrastructure terms, or provider keywords.</w:t>
      </w:r>
    </w:p>
    <w:p>
      <w:pPr>
        <w:spacing w:before="40" w:after="40"/>
      </w:pPr>
      <w:r>
        <w:rPr>
          <w:rFonts w:ascii="Calibri" w:hAnsi="Calibri"/>
          <w:b/>
          <w:i w:val="0"/>
          <w:sz w:val="20"/>
        </w:rPr>
        <w:t>Primary Evaluation Focus: Provider Correctness, Resource Coverage, Code Similarity</w:t>
      </w:r>
    </w:p>
    <w:p>
      <w:pPr>
        <w:spacing w:before="120" w:after="40"/>
      </w:pPr>
      <w:r>
        <w:rPr>
          <w:rFonts w:ascii="Calibri" w:hAnsi="Calibri"/>
          <w:b/>
          <w:color w:val="2E74B5"/>
          <w:sz w:val="21"/>
        </w:rPr>
        <w:t>Implementation Steps</w:t>
      </w:r>
    </w:p>
    <w:p>
      <w:pPr>
        <w:pStyle w:val="ListBullet"/>
        <w:spacing w:before="20" w:after="20"/>
      </w:pPr>
      <w:r>
        <w:rPr>
          <w:rFonts w:ascii="Calibri" w:hAnsi="Calibri"/>
          <w:sz w:val="20"/>
        </w:rPr>
        <w:t>A BM25 index was constructed over tokenised TerraDS Terraform source files using the rank_bm25 library.</w:t>
      </w:r>
    </w:p>
    <w:p>
      <w:pPr>
        <w:pStyle w:val="ListBullet"/>
        <w:spacing w:before="20" w:after="20"/>
      </w:pPr>
      <w:r>
        <w:rPr>
          <w:rFonts w:ascii="Calibri" w:hAnsi="Calibri"/>
          <w:sz w:val="20"/>
        </w:rPr>
        <w:t>Each test prompt was tokenised and used to retrieve the top-k most keyword-relevant Terraform modules from the BM25 index.</w:t>
      </w:r>
    </w:p>
    <w:p>
      <w:pPr>
        <w:pStyle w:val="ListBullet"/>
        <w:spacing w:before="20" w:after="20"/>
      </w:pPr>
      <w:r>
        <w:rPr>
          <w:rFonts w:ascii="Calibri" w:hAnsi="Calibri"/>
          <w:sz w:val="20"/>
        </w:rPr>
        <w:t>Retrieved modules were appended to the prompt as context before the generation instruction.</w:t>
      </w:r>
    </w:p>
    <w:p>
      <w:pPr>
        <w:pStyle w:val="ListBullet"/>
        <w:spacing w:before="20" w:after="20"/>
      </w:pPr>
      <w:r>
        <w:rPr>
          <w:rFonts w:ascii="Calibri" w:hAnsi="Calibri"/>
          <w:sz w:val="20"/>
        </w:rPr>
        <w:t>The enriched prompt was passed to LLaMA 3.3 70B and generated code was collected.</w:t>
      </w:r>
    </w:p>
    <w:p>
      <w:pPr>
        <w:pStyle w:val="ListBullet"/>
        <w:spacing w:before="20" w:after="20"/>
      </w:pPr>
      <w:r>
        <w:rPr>
          <w:rFonts w:ascii="Calibri" w:hAnsi="Calibri"/>
          <w:sz w:val="20"/>
        </w:rPr>
        <w:t>All ten offline evaluation metrics were computed and stored in E05_SparseRAG_results.json.</w:t>
      </w:r>
    </w:p>
    <w:p>
      <w:pPr>
        <w:spacing w:before="120" w:after="40"/>
      </w:pPr>
      <w:r>
        <w:rPr>
          <w:rFonts w:ascii="Calibri" w:hAnsi="Calibri"/>
          <w:b/>
          <w:color w:val="2E74B5"/>
          <w:sz w:val="21"/>
        </w:rPr>
        <w:t>Results Discussion</w:t>
      </w:r>
    </w:p>
    <w:p>
      <w:pPr>
        <w:pStyle w:val="ListBullet"/>
        <w:spacing w:before="20" w:after="20"/>
      </w:pPr>
      <w:r>
        <w:rPr>
          <w:rFonts w:ascii="Calibri" w:hAnsi="Calibri"/>
          <w:b/>
          <w:sz w:val="20"/>
        </w:rPr>
        <w:t xml:space="preserve">HCL Syntax Validity (99.33%): </w:t>
      </w:r>
      <w:r>
        <w:rPr>
          <w:rFonts w:ascii="Calibri" w:hAnsi="Calibri"/>
          <w:sz w:val="20"/>
        </w:rPr>
        <w:t>Slightly below perfect — some keyword-retrieved modules may contain unusual syntax that confuses the model.</w:t>
      </w:r>
    </w:p>
    <w:p>
      <w:pPr>
        <w:pStyle w:val="ListBullet"/>
        <w:spacing w:before="20" w:after="20"/>
      </w:pPr>
      <w:r>
        <w:rPr>
          <w:rFonts w:ascii="Calibri" w:hAnsi="Calibri"/>
          <w:b/>
          <w:sz w:val="20"/>
        </w:rPr>
        <w:t xml:space="preserve">Terraform Format Pass (99.0%): </w:t>
      </w:r>
      <w:r>
        <w:rPr>
          <w:rFonts w:ascii="Calibri" w:hAnsi="Calibri"/>
          <w:sz w:val="20"/>
        </w:rPr>
        <w:t>Minor formatting failures, the only experiment other than E01 to fall below 100% format pass.</w:t>
      </w:r>
    </w:p>
    <w:p>
      <w:pPr>
        <w:pStyle w:val="ListBullet"/>
        <w:spacing w:before="20" w:after="20"/>
      </w:pPr>
      <w:r>
        <w:rPr>
          <w:rFonts w:ascii="Calibri" w:hAnsi="Calibri"/>
          <w:b/>
          <w:sz w:val="20"/>
        </w:rPr>
        <w:t xml:space="preserve">Terraform Validation Pass (99.0%): </w:t>
      </w:r>
      <w:r>
        <w:rPr>
          <w:rFonts w:ascii="Calibri" w:hAnsi="Calibri"/>
          <w:sz w:val="20"/>
        </w:rPr>
        <w:t>Slightly lower than E04 — keyword-retrieved examples are not always semantically aligned, introducing occasional validation issues.</w:t>
      </w:r>
    </w:p>
    <w:p>
      <w:pPr>
        <w:pStyle w:val="ListBullet"/>
        <w:spacing w:before="20" w:after="20"/>
      </w:pPr>
      <w:r>
        <w:rPr>
          <w:rFonts w:ascii="Calibri" w:hAnsi="Calibri"/>
          <w:b/>
          <w:sz w:val="20"/>
        </w:rPr>
        <w:t xml:space="preserve">Provider Correctness (99.83%): </w:t>
      </w:r>
      <w:r>
        <w:rPr>
          <w:rFonts w:ascii="Calibri" w:hAnsi="Calibri"/>
          <w:sz w:val="20"/>
        </w:rPr>
        <w:t>First experiment to fall below 100% provider correctness — BM25 may retrieve cross-provider modules when keyword overlap occurs.</w:t>
      </w:r>
    </w:p>
    <w:p>
      <w:pPr>
        <w:pStyle w:val="ListBullet"/>
        <w:spacing w:before="20" w:after="20"/>
      </w:pPr>
      <w:r>
        <w:rPr>
          <w:rFonts w:ascii="Calibri" w:hAnsi="Calibri"/>
          <w:b/>
          <w:sz w:val="20"/>
        </w:rPr>
        <w:t xml:space="preserve">Resource Coverage (89.0%): </w:t>
      </w:r>
      <w:r>
        <w:rPr>
          <w:rFonts w:ascii="Calibri" w:hAnsi="Calibri"/>
          <w:sz w:val="20"/>
        </w:rPr>
        <w:t>Lower than Dense RAG (91.0%) — keyword retrieval does not always find the most resource-complete examples.</w:t>
      </w:r>
    </w:p>
    <w:p>
      <w:pPr>
        <w:pStyle w:val="ListBullet"/>
        <w:spacing w:before="20" w:after="20"/>
      </w:pPr>
      <w:r>
        <w:rPr>
          <w:rFonts w:ascii="Calibri" w:hAnsi="Calibri"/>
          <w:b/>
          <w:sz w:val="20"/>
        </w:rPr>
        <w:t xml:space="preserve">Dependency Score (96.71%): </w:t>
      </w:r>
      <w:r>
        <w:rPr>
          <w:rFonts w:ascii="Calibri" w:hAnsi="Calibri"/>
          <w:sz w:val="20"/>
        </w:rPr>
        <w:t>Marginally better than Dense RAG.</w:t>
      </w:r>
    </w:p>
    <w:p>
      <w:pPr>
        <w:pStyle w:val="ListBullet"/>
        <w:spacing w:before="20" w:after="20"/>
      </w:pPr>
      <w:r>
        <w:rPr>
          <w:rFonts w:ascii="Calibri" w:hAnsi="Calibri"/>
          <w:b/>
          <w:sz w:val="20"/>
        </w:rPr>
        <w:t xml:space="preserve">Security Issues (0.1533 per sample): </w:t>
      </w:r>
      <w:r>
        <w:rPr>
          <w:rFonts w:ascii="Calibri" w:hAnsi="Calibri"/>
          <w:sz w:val="20"/>
        </w:rPr>
        <w:t>Similar to Dense RAG. Keyword-matched modules have comparable security profiles.</w:t>
      </w:r>
    </w:p>
    <w:p>
      <w:pPr>
        <w:pStyle w:val="ListBullet"/>
        <w:spacing w:before="20" w:after="20"/>
      </w:pPr>
      <w:r>
        <w:rPr>
          <w:rFonts w:ascii="Calibri" w:hAnsi="Calibri"/>
          <w:b/>
          <w:sz w:val="20"/>
        </w:rPr>
        <w:t xml:space="preserve">Code Similarity (11.79%): </w:t>
      </w:r>
      <w:r>
        <w:rPr>
          <w:rFonts w:ascii="Calibri" w:hAnsi="Calibri"/>
          <w:sz w:val="20"/>
        </w:rPr>
        <w:t>Strong code similarity, only slightly below Dense RAG — exact keyword matching finds structurally similar Terraform modules.</w:t>
      </w:r>
    </w:p>
    <w:p>
      <w:pPr>
        <w:pStyle w:val="ListBullet"/>
        <w:spacing w:before="20" w:after="20"/>
      </w:pPr>
      <w:r>
        <w:rPr>
          <w:rFonts w:ascii="Calibri" w:hAnsi="Calibri"/>
          <w:b/>
          <w:sz w:val="20"/>
        </w:rPr>
        <w:t xml:space="preserve">Best-Practice Score (46.21%): </w:t>
      </w:r>
      <w:r>
        <w:rPr>
          <w:rFonts w:ascii="Calibri" w:hAnsi="Calibri"/>
          <w:sz w:val="20"/>
        </w:rPr>
        <w:t>Good best-practice score, comparable to Few-Shot — keyword-matched modules tend to be structurally complete.</w:t>
      </w:r>
    </w:p>
    <w:p>
      <w:pPr>
        <w:pStyle w:val="ListBullet"/>
        <w:spacing w:before="20" w:after="20"/>
      </w:pPr>
      <w:r>
        <w:rPr>
          <w:rFonts w:ascii="Calibri" w:hAnsi="Calibri"/>
          <w:b/>
          <w:sz w:val="20"/>
        </w:rPr>
        <w:t xml:space="preserve">Final Weighted Score (92.10 / Rank 7): </w:t>
      </w:r>
      <w:r>
        <w:rPr>
          <w:rFonts w:ascii="Calibri" w:hAnsi="Calibri"/>
          <w:sz w:val="20"/>
        </w:rPr>
        <w:t>Weaker than Dense RAG despite similar code similarity. Provider correctness drops and format/validation rates are slightly lower.</w:t>
      </w:r>
    </w:p>
    <w:p>
      <w:pPr>
        <w:spacing w:before="120" w:after="40"/>
      </w:pPr>
      <w:r>
        <w:rPr>
          <w:rFonts w:ascii="Calibri" w:hAnsi="Calibri"/>
          <w:b/>
          <w:color w:val="2E74B5"/>
          <w:sz w:val="21"/>
        </w:rPr>
        <w:t>Advantages</w:t>
      </w:r>
    </w:p>
    <w:p>
      <w:pPr>
        <w:pStyle w:val="ListBullet"/>
        <w:spacing w:before="20" w:after="20"/>
      </w:pPr>
      <w:r>
        <w:rPr>
          <w:rFonts w:ascii="Calibri" w:hAnsi="Calibri"/>
          <w:sz w:val="20"/>
        </w:rPr>
        <w:t>No embedding model or vector database required — BM25 is computationally lightweight.</w:t>
      </w:r>
    </w:p>
    <w:p>
      <w:pPr>
        <w:pStyle w:val="ListBullet"/>
        <w:spacing w:before="20" w:after="20"/>
      </w:pPr>
      <w:r>
        <w:rPr>
          <w:rFonts w:ascii="Calibri" w:hAnsi="Calibri"/>
          <w:sz w:val="20"/>
        </w:rPr>
        <w:t>Strong code similarity comparable to semantic retrieval for prompts with specific resource keywords.</w:t>
      </w:r>
    </w:p>
    <w:p>
      <w:pPr>
        <w:pStyle w:val="ListBullet"/>
        <w:spacing w:before="20" w:after="20"/>
      </w:pPr>
      <w:r>
        <w:rPr>
          <w:rFonts w:ascii="Calibri" w:hAnsi="Calibri"/>
          <w:sz w:val="20"/>
        </w:rPr>
        <w:t>Good best-practice score from keyword-matched modules with real Terraform structure.</w:t>
      </w:r>
    </w:p>
    <w:p>
      <w:pPr>
        <w:spacing w:before="120" w:after="40"/>
      </w:pPr>
      <w:r>
        <w:rPr>
          <w:rFonts w:ascii="Calibri" w:hAnsi="Calibri"/>
          <w:b/>
          <w:color w:val="2E74B5"/>
          <w:sz w:val="21"/>
        </w:rPr>
        <w:t>Disadvantages</w:t>
      </w:r>
    </w:p>
    <w:p>
      <w:pPr>
        <w:pStyle w:val="ListBullet"/>
        <w:spacing w:before="20" w:after="20"/>
      </w:pPr>
      <w:r>
        <w:rPr>
          <w:rFonts w:ascii="Calibri" w:hAnsi="Calibri"/>
          <w:sz w:val="20"/>
        </w:rPr>
        <w:t>Provider correctness is not perfect — cross-provider keyword overlap causes occasional wrong-provider retrievals.</w:t>
      </w:r>
    </w:p>
    <w:p>
      <w:pPr>
        <w:pStyle w:val="ListBullet"/>
        <w:spacing w:before="20" w:after="20"/>
      </w:pPr>
      <w:r>
        <w:rPr>
          <w:rFonts w:ascii="Calibri" w:hAnsi="Calibri"/>
          <w:sz w:val="20"/>
        </w:rPr>
        <w:t>Resource coverage is lower than Dense RAG because BM25 does not capture semantic similarity when prompts use general infrastructure language.</w:t>
      </w:r>
    </w:p>
    <w:p>
      <w:pPr>
        <w:pStyle w:val="ListBullet"/>
        <w:spacing w:before="20" w:after="20"/>
      </w:pPr>
      <w:r>
        <w:rPr>
          <w:rFonts w:ascii="Calibri" w:hAnsi="Calibri"/>
          <w:sz w:val="20"/>
        </w:rPr>
        <w:t>Format and validation pass rates are marginally lower than Dense RAG, indicating noisier retrieval results.</w:t>
      </w:r>
    </w:p>
    <w:p>
      <w:pPr>
        <w:spacing w:before="120" w:after="40"/>
      </w:pPr>
      <w:r>
        <w:rPr>
          <w:rFonts w:ascii="Calibri" w:hAnsi="Calibri"/>
          <w:b/>
          <w:color w:val="2E74B5"/>
          <w:sz w:val="21"/>
        </w:rPr>
        <w:t>Main Results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F3564"/>
          </w:tcPr>
          <w:p>
            <w:pPr>
              <w:spacing w:before="20" w:after="20"/>
              <w:jc w:val="center"/>
            </w:pPr>
            <w:r>
              <w:rPr>
                <w:rFonts w:ascii="Calibri" w:hAnsi="Calibri"/>
                <w:b/>
                <w:i w:val="0"/>
                <w:color w:val="FFFFFF"/>
                <w:sz w:val="18"/>
              </w:rPr>
              <w:t>Metric</w:t>
            </w:r>
          </w:p>
        </w:tc>
        <w:tc>
          <w:tcPr>
            <w:tcW w:type="dxa" w:w="2422"/>
            <w:shd w:val="clear" w:color="auto" w:fill="1F3564"/>
          </w:tcPr>
          <w:p>
            <w:pPr>
              <w:spacing w:before="20" w:after="20"/>
              <w:jc w:val="center"/>
            </w:pPr>
            <w:r>
              <w:rPr>
                <w:rFonts w:ascii="Calibri" w:hAnsi="Calibri"/>
                <w:b/>
                <w:i w:val="0"/>
                <w:color w:val="FFFFFF"/>
                <w:sz w:val="18"/>
              </w:rPr>
              <w:t>Value</w:t>
            </w:r>
          </w:p>
        </w:tc>
        <w:tc>
          <w:tcPr>
            <w:tcW w:type="dxa" w:w="2422"/>
            <w:shd w:val="clear" w:color="auto" w:fill="1F3564"/>
          </w:tcPr>
          <w:p>
            <w:pPr>
              <w:spacing w:before="20" w:after="20"/>
              <w:jc w:val="center"/>
            </w:pPr>
            <w:r>
              <w:rPr>
                <w:rFonts w:ascii="Calibri" w:hAnsi="Calibri"/>
                <w:b/>
                <w:i w:val="0"/>
                <w:color w:val="FFFFFF"/>
                <w:sz w:val="18"/>
              </w:rPr>
              <w:t>Direction</w:t>
            </w:r>
          </w:p>
        </w:tc>
        <w:tc>
          <w:tcPr>
            <w:tcW w:type="dxa" w:w="2422"/>
            <w:shd w:val="clear" w:color="auto" w:fill="1F3564"/>
          </w:tcPr>
          <w:p>
            <w:pPr>
              <w:spacing w:before="20" w:after="20"/>
              <w:jc w:val="center"/>
            </w:pPr>
            <w:r>
              <w:rPr>
                <w:rFonts w:ascii="Calibri" w:hAnsi="Calibri"/>
                <w:b/>
                <w:i w:val="0"/>
                <w:color w:val="FFFFFF"/>
                <w:sz w:val="18"/>
              </w:rPr>
              <w:t>Status</w:t>
            </w:r>
          </w:p>
        </w:tc>
      </w:tr>
      <w:tr>
        <w:tc>
          <w:tcPr>
            <w:tcW w:type="dxa" w:w="2422"/>
            <w:shd w:val="clear" w:color="auto" w:fill="BDD7EE"/>
          </w:tcPr>
          <w:p>
            <w:pPr>
              <w:spacing w:before="20" w:after="20"/>
              <w:jc w:val="left"/>
            </w:pPr>
            <w:r>
              <w:rPr>
                <w:rFonts w:ascii="Calibri" w:hAnsi="Calibri"/>
                <w:b w:val="0"/>
                <w:i w:val="0"/>
                <w:sz w:val="18"/>
              </w:rPr>
              <w:t>HCL Syntax Validity %</w:t>
            </w:r>
          </w:p>
        </w:tc>
        <w:tc>
          <w:tcPr>
            <w:tcW w:type="dxa" w:w="2422"/>
            <w:shd w:val="clear" w:color="auto" w:fill="BDD7EE"/>
          </w:tcPr>
          <w:p>
            <w:pPr>
              <w:spacing w:before="20" w:after="20"/>
              <w:jc w:val="center"/>
            </w:pPr>
            <w:r>
              <w:rPr>
                <w:rFonts w:ascii="Calibri" w:hAnsi="Calibri"/>
                <w:b w:val="0"/>
                <w:i w:val="0"/>
                <w:sz w:val="18"/>
              </w:rPr>
              <w:t>99.33%</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FFFFFF"/>
          </w:tcPr>
          <w:p>
            <w:pPr>
              <w:spacing w:before="20" w:after="20"/>
              <w:jc w:val="left"/>
            </w:pPr>
            <w:r>
              <w:rPr>
                <w:rFonts w:ascii="Calibri" w:hAnsi="Calibri"/>
                <w:b w:val="0"/>
                <w:i w:val="0"/>
                <w:sz w:val="18"/>
              </w:rPr>
              <w:t>Terraform Format Pass %</w:t>
            </w:r>
          </w:p>
        </w:tc>
        <w:tc>
          <w:tcPr>
            <w:tcW w:type="dxa" w:w="2422"/>
            <w:shd w:val="clear" w:color="auto" w:fill="FFFFFF"/>
          </w:tcPr>
          <w:p>
            <w:pPr>
              <w:spacing w:before="20" w:after="20"/>
              <w:jc w:val="center"/>
            </w:pPr>
            <w:r>
              <w:rPr>
                <w:rFonts w:ascii="Calibri" w:hAnsi="Calibri"/>
                <w:b w:val="0"/>
                <w:i w:val="0"/>
                <w:sz w:val="18"/>
              </w:rPr>
              <w:t>99.00%</w:t>
            </w:r>
          </w:p>
        </w:tc>
        <w:tc>
          <w:tcPr>
            <w:tcW w:type="dxa" w:w="2422"/>
            <w:shd w:val="clear" w:color="auto" w:fill="FFFFFF"/>
          </w:tcPr>
          <w:p>
            <w:pPr>
              <w:spacing w:before="20" w:after="20"/>
              <w:jc w:val="left"/>
            </w:pPr>
            <w:r>
              <w:rPr>
                <w:rFonts w:ascii="Calibri" w:hAnsi="Calibri"/>
                <w:b w:val="0"/>
                <w:i w:val="0"/>
                <w:sz w:val="18"/>
              </w:rPr>
              <w:t>Higher is better</w:t>
            </w:r>
          </w:p>
        </w:tc>
        <w:tc>
          <w:tcPr>
            <w:tcW w:type="dxa" w:w="2422"/>
            <w:shd w:val="clear" w:color="auto" w:fill="FFFFFF"/>
          </w:tcPr>
          <w:p>
            <w:pPr>
              <w:spacing w:before="20" w:after="20"/>
              <w:jc w:val="center"/>
            </w:pPr>
            <w:r>
              <w:rPr>
                <w:rFonts w:ascii="Calibri" w:hAnsi="Calibri"/>
                <w:b/>
                <w:i w:val="0"/>
                <w:color w:val="404040"/>
                <w:sz w:val="18"/>
              </w:rPr>
              <w:t>~</w:t>
            </w:r>
          </w:p>
        </w:tc>
      </w:tr>
      <w:tr>
        <w:tc>
          <w:tcPr>
            <w:tcW w:type="dxa" w:w="2422"/>
            <w:shd w:val="clear" w:color="auto" w:fill="BDD7EE"/>
          </w:tcPr>
          <w:p>
            <w:pPr>
              <w:spacing w:before="20" w:after="20"/>
              <w:jc w:val="left"/>
            </w:pPr>
            <w:r>
              <w:rPr>
                <w:rFonts w:ascii="Calibri" w:hAnsi="Calibri"/>
                <w:b w:val="0"/>
                <w:i w:val="0"/>
                <w:sz w:val="18"/>
              </w:rPr>
              <w:t>Terraform Validation Pass %</w:t>
            </w:r>
          </w:p>
        </w:tc>
        <w:tc>
          <w:tcPr>
            <w:tcW w:type="dxa" w:w="2422"/>
            <w:shd w:val="clear" w:color="auto" w:fill="BDD7EE"/>
          </w:tcPr>
          <w:p>
            <w:pPr>
              <w:spacing w:before="20" w:after="20"/>
              <w:jc w:val="center"/>
            </w:pPr>
            <w:r>
              <w:rPr>
                <w:rFonts w:ascii="Calibri" w:hAnsi="Calibri"/>
                <w:b w:val="0"/>
                <w:i w:val="0"/>
                <w:sz w:val="18"/>
              </w:rPr>
              <w:t>99.00%</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FFFFFF"/>
          </w:tcPr>
          <w:p>
            <w:pPr>
              <w:spacing w:before="20" w:after="20"/>
              <w:jc w:val="left"/>
            </w:pPr>
            <w:r>
              <w:rPr>
                <w:rFonts w:ascii="Calibri" w:hAnsi="Calibri"/>
                <w:b w:val="0"/>
                <w:i w:val="0"/>
                <w:sz w:val="18"/>
              </w:rPr>
              <w:t>Provider Correctness %</w:t>
            </w:r>
          </w:p>
        </w:tc>
        <w:tc>
          <w:tcPr>
            <w:tcW w:type="dxa" w:w="2422"/>
            <w:shd w:val="clear" w:color="auto" w:fill="FFFFFF"/>
          </w:tcPr>
          <w:p>
            <w:pPr>
              <w:spacing w:before="20" w:after="20"/>
              <w:jc w:val="center"/>
            </w:pPr>
            <w:r>
              <w:rPr>
                <w:rFonts w:ascii="Calibri" w:hAnsi="Calibri"/>
                <w:b w:val="0"/>
                <w:i w:val="0"/>
                <w:sz w:val="18"/>
              </w:rPr>
              <w:t>99.83%</w:t>
            </w:r>
          </w:p>
        </w:tc>
        <w:tc>
          <w:tcPr>
            <w:tcW w:type="dxa" w:w="2422"/>
            <w:shd w:val="clear" w:color="auto" w:fill="FFFFFF"/>
          </w:tcPr>
          <w:p>
            <w:pPr>
              <w:spacing w:before="20" w:after="20"/>
              <w:jc w:val="left"/>
            </w:pPr>
            <w:r>
              <w:rPr>
                <w:rFonts w:ascii="Calibri" w:hAnsi="Calibri"/>
                <w:b w:val="0"/>
                <w:i w:val="0"/>
                <w:sz w:val="18"/>
              </w:rPr>
              <w:t>Higher is better</w:t>
            </w:r>
          </w:p>
        </w:tc>
        <w:tc>
          <w:tcPr>
            <w:tcW w:type="dxa" w:w="2422"/>
            <w:shd w:val="clear" w:color="auto" w:fill="FFFFFF"/>
          </w:tcPr>
          <w:p>
            <w:pPr>
              <w:spacing w:before="20" w:after="20"/>
              <w:jc w:val="center"/>
            </w:pPr>
            <w:r>
              <w:rPr>
                <w:rFonts w:ascii="Calibri" w:hAnsi="Calibri"/>
                <w:b/>
                <w:i w:val="0"/>
                <w:color w:val="404040"/>
                <w:sz w:val="18"/>
              </w:rPr>
              <w:t>~</w:t>
            </w:r>
          </w:p>
        </w:tc>
      </w:tr>
      <w:tr>
        <w:tc>
          <w:tcPr>
            <w:tcW w:type="dxa" w:w="2422"/>
            <w:shd w:val="clear" w:color="auto" w:fill="F2F2F2"/>
          </w:tcPr>
          <w:p>
            <w:pPr>
              <w:spacing w:before="20" w:after="20"/>
              <w:jc w:val="left"/>
            </w:pPr>
            <w:r>
              <w:rPr>
                <w:rFonts w:ascii="Calibri" w:hAnsi="Calibri"/>
                <w:b w:val="0"/>
                <w:i w:val="0"/>
                <w:sz w:val="18"/>
              </w:rPr>
              <w:t>Resource Coverage %</w:t>
            </w:r>
          </w:p>
        </w:tc>
        <w:tc>
          <w:tcPr>
            <w:tcW w:type="dxa" w:w="2422"/>
            <w:shd w:val="clear" w:color="auto" w:fill="F2F2F2"/>
          </w:tcPr>
          <w:p>
            <w:pPr>
              <w:spacing w:before="20" w:after="20"/>
              <w:jc w:val="center"/>
            </w:pPr>
            <w:r>
              <w:rPr>
                <w:rFonts w:ascii="Calibri" w:hAnsi="Calibri"/>
                <w:b w:val="0"/>
                <w:i w:val="0"/>
                <w:sz w:val="18"/>
              </w:rPr>
              <w:t>89.00%</w:t>
            </w:r>
          </w:p>
        </w:tc>
        <w:tc>
          <w:tcPr>
            <w:tcW w:type="dxa" w:w="2422"/>
            <w:shd w:val="clear" w:color="auto" w:fill="F2F2F2"/>
          </w:tcPr>
          <w:p>
            <w:pPr>
              <w:spacing w:before="20" w:after="20"/>
              <w:jc w:val="left"/>
            </w:pPr>
            <w:r>
              <w:rPr>
                <w:rFonts w:ascii="Calibri" w:hAnsi="Calibri"/>
                <w:b w:val="0"/>
                <w:i w:val="0"/>
                <w:sz w:val="18"/>
              </w:rPr>
              <w:t>Higher is better</w:t>
            </w:r>
          </w:p>
        </w:tc>
        <w:tc>
          <w:tcPr>
            <w:tcW w:type="dxa" w:w="2422"/>
            <w:shd w:val="clear" w:color="auto" w:fill="F2F2F2"/>
          </w:tcPr>
          <w:p>
            <w:pPr>
              <w:spacing w:before="20" w:after="20"/>
              <w:jc w:val="center"/>
            </w:pPr>
            <w:r>
              <w:rPr>
                <w:rFonts w:ascii="Calibri" w:hAnsi="Calibri"/>
                <w:b/>
                <w:i w:val="0"/>
                <w:color w:val="404040"/>
                <w:sz w:val="18"/>
              </w:rPr>
              <w:t>~</w:t>
            </w:r>
          </w:p>
        </w:tc>
      </w:tr>
      <w:tr>
        <w:tc>
          <w:tcPr>
            <w:tcW w:type="dxa" w:w="2422"/>
            <w:shd w:val="clear" w:color="auto" w:fill="FFFFFF"/>
          </w:tcPr>
          <w:p>
            <w:pPr>
              <w:spacing w:before="20" w:after="20"/>
              <w:jc w:val="left"/>
            </w:pPr>
            <w:r>
              <w:rPr>
                <w:rFonts w:ascii="Calibri" w:hAnsi="Calibri"/>
                <w:b w:val="0"/>
                <w:i w:val="0"/>
                <w:sz w:val="18"/>
              </w:rPr>
              <w:t>Dependency Score %</w:t>
            </w:r>
          </w:p>
        </w:tc>
        <w:tc>
          <w:tcPr>
            <w:tcW w:type="dxa" w:w="2422"/>
            <w:shd w:val="clear" w:color="auto" w:fill="FFFFFF"/>
          </w:tcPr>
          <w:p>
            <w:pPr>
              <w:spacing w:before="20" w:after="20"/>
              <w:jc w:val="center"/>
            </w:pPr>
            <w:r>
              <w:rPr>
                <w:rFonts w:ascii="Calibri" w:hAnsi="Calibri"/>
                <w:b w:val="0"/>
                <w:i w:val="0"/>
                <w:sz w:val="18"/>
              </w:rPr>
              <w:t>96.71%</w:t>
            </w:r>
          </w:p>
        </w:tc>
        <w:tc>
          <w:tcPr>
            <w:tcW w:type="dxa" w:w="2422"/>
            <w:shd w:val="clear" w:color="auto" w:fill="FFFFFF"/>
          </w:tcPr>
          <w:p>
            <w:pPr>
              <w:spacing w:before="20" w:after="20"/>
              <w:jc w:val="left"/>
            </w:pPr>
            <w:r>
              <w:rPr>
                <w:rFonts w:ascii="Calibri" w:hAnsi="Calibri"/>
                <w:b w:val="0"/>
                <w:i w:val="0"/>
                <w:sz w:val="18"/>
              </w:rPr>
              <w:t>Higher is better</w:t>
            </w:r>
          </w:p>
        </w:tc>
        <w:tc>
          <w:tcPr>
            <w:tcW w:type="dxa" w:w="2422"/>
            <w:shd w:val="clear" w:color="auto" w:fill="FFFFFF"/>
          </w:tcPr>
          <w:p>
            <w:pPr>
              <w:spacing w:before="20" w:after="20"/>
              <w:jc w:val="center"/>
            </w:pPr>
            <w:r>
              <w:rPr>
                <w:rFonts w:ascii="Calibri" w:hAnsi="Calibri"/>
                <w:b/>
                <w:i w:val="0"/>
                <w:color w:val="404040"/>
                <w:sz w:val="18"/>
              </w:rPr>
              <w:t>~</w:t>
            </w:r>
          </w:p>
        </w:tc>
      </w:tr>
      <w:tr>
        <w:tc>
          <w:tcPr>
            <w:tcW w:type="dxa" w:w="2422"/>
            <w:shd w:val="clear" w:color="auto" w:fill="BDD7EE"/>
          </w:tcPr>
          <w:p>
            <w:pPr>
              <w:spacing w:before="20" w:after="20"/>
              <w:jc w:val="left"/>
            </w:pPr>
            <w:r>
              <w:rPr>
                <w:rFonts w:ascii="Calibri" w:hAnsi="Calibri"/>
                <w:b w:val="0"/>
                <w:i w:val="0"/>
                <w:sz w:val="18"/>
              </w:rPr>
              <w:t>Security Issues (avg)</w:t>
            </w:r>
          </w:p>
        </w:tc>
        <w:tc>
          <w:tcPr>
            <w:tcW w:type="dxa" w:w="2422"/>
            <w:shd w:val="clear" w:color="auto" w:fill="BDD7EE"/>
          </w:tcPr>
          <w:p>
            <w:pPr>
              <w:spacing w:before="20" w:after="20"/>
              <w:jc w:val="center"/>
            </w:pPr>
            <w:r>
              <w:rPr>
                <w:rFonts w:ascii="Calibri" w:hAnsi="Calibri"/>
                <w:b w:val="0"/>
                <w:i w:val="0"/>
                <w:sz w:val="18"/>
              </w:rPr>
              <w:t>0.1533</w:t>
            </w:r>
          </w:p>
        </w:tc>
        <w:tc>
          <w:tcPr>
            <w:tcW w:type="dxa" w:w="2422"/>
            <w:shd w:val="clear" w:color="auto" w:fill="BDD7EE"/>
          </w:tcPr>
          <w:p>
            <w:pPr>
              <w:spacing w:before="20" w:after="20"/>
              <w:jc w:val="left"/>
            </w:pPr>
            <w:r>
              <w:rPr>
                <w:rFonts w:ascii="Calibri" w:hAnsi="Calibri"/>
                <w:b w:val="0"/>
                <w:i w:val="0"/>
                <w:sz w:val="18"/>
              </w:rPr>
              <w:t>Lower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FFFFFF"/>
          </w:tcPr>
          <w:p>
            <w:pPr>
              <w:spacing w:before="20" w:after="20"/>
              <w:jc w:val="left"/>
            </w:pPr>
            <w:r>
              <w:rPr>
                <w:rFonts w:ascii="Calibri" w:hAnsi="Calibri"/>
                <w:b w:val="0"/>
                <w:i w:val="0"/>
                <w:sz w:val="18"/>
              </w:rPr>
              <w:t>Hardcoded Secrets (avg)</w:t>
            </w:r>
          </w:p>
        </w:tc>
        <w:tc>
          <w:tcPr>
            <w:tcW w:type="dxa" w:w="2422"/>
            <w:shd w:val="clear" w:color="auto" w:fill="FFFFFF"/>
          </w:tcPr>
          <w:p>
            <w:pPr>
              <w:spacing w:before="20" w:after="20"/>
              <w:jc w:val="center"/>
            </w:pPr>
            <w:r>
              <w:rPr>
                <w:rFonts w:ascii="Calibri" w:hAnsi="Calibri"/>
                <w:b w:val="0"/>
                <w:i w:val="0"/>
                <w:sz w:val="18"/>
              </w:rPr>
              <w:t>0.0133</w:t>
            </w:r>
          </w:p>
        </w:tc>
        <w:tc>
          <w:tcPr>
            <w:tcW w:type="dxa" w:w="2422"/>
            <w:shd w:val="clear" w:color="auto" w:fill="FFFFFF"/>
          </w:tcPr>
          <w:p>
            <w:pPr>
              <w:spacing w:before="20" w:after="20"/>
              <w:jc w:val="left"/>
            </w:pPr>
            <w:r>
              <w:rPr>
                <w:rFonts w:ascii="Calibri" w:hAnsi="Calibri"/>
                <w:b w:val="0"/>
                <w:i w:val="0"/>
                <w:sz w:val="18"/>
              </w:rPr>
              <w:t>Lower is better</w:t>
            </w:r>
          </w:p>
        </w:tc>
        <w:tc>
          <w:tcPr>
            <w:tcW w:type="dxa" w:w="2422"/>
            <w:shd w:val="clear" w:color="auto" w:fill="FFFFFF"/>
          </w:tcPr>
          <w:p>
            <w:pPr>
              <w:spacing w:before="20" w:after="20"/>
              <w:jc w:val="center"/>
            </w:pPr>
            <w:r>
              <w:rPr>
                <w:rFonts w:ascii="Calibri" w:hAnsi="Calibri"/>
                <w:b/>
                <w:i w:val="0"/>
                <w:color w:val="404040"/>
                <w:sz w:val="18"/>
              </w:rPr>
              <w:t>~</w:t>
            </w:r>
          </w:p>
        </w:tc>
      </w:tr>
      <w:tr>
        <w:tc>
          <w:tcPr>
            <w:tcW w:type="dxa" w:w="2422"/>
            <w:shd w:val="clear" w:color="auto" w:fill="F2F2F2"/>
          </w:tcPr>
          <w:p>
            <w:pPr>
              <w:spacing w:before="20" w:after="20"/>
              <w:jc w:val="left"/>
            </w:pPr>
            <w:r>
              <w:rPr>
                <w:rFonts w:ascii="Calibri" w:hAnsi="Calibri"/>
                <w:b w:val="0"/>
                <w:i w:val="0"/>
                <w:sz w:val="18"/>
              </w:rPr>
              <w:t>Best-Practice Score %</w:t>
            </w:r>
          </w:p>
        </w:tc>
        <w:tc>
          <w:tcPr>
            <w:tcW w:type="dxa" w:w="2422"/>
            <w:shd w:val="clear" w:color="auto" w:fill="F2F2F2"/>
          </w:tcPr>
          <w:p>
            <w:pPr>
              <w:spacing w:before="20" w:after="20"/>
              <w:jc w:val="center"/>
            </w:pPr>
            <w:r>
              <w:rPr>
                <w:rFonts w:ascii="Calibri" w:hAnsi="Calibri"/>
                <w:b w:val="0"/>
                <w:i w:val="0"/>
                <w:sz w:val="18"/>
              </w:rPr>
              <w:t>46.21%</w:t>
            </w:r>
          </w:p>
        </w:tc>
        <w:tc>
          <w:tcPr>
            <w:tcW w:type="dxa" w:w="2422"/>
            <w:shd w:val="clear" w:color="auto" w:fill="F2F2F2"/>
          </w:tcPr>
          <w:p>
            <w:pPr>
              <w:spacing w:before="20" w:after="20"/>
              <w:jc w:val="left"/>
            </w:pPr>
            <w:r>
              <w:rPr>
                <w:rFonts w:ascii="Calibri" w:hAnsi="Calibri"/>
                <w:b w:val="0"/>
                <w:i w:val="0"/>
                <w:sz w:val="18"/>
              </w:rPr>
              <w:t>Higher is better</w:t>
            </w:r>
          </w:p>
        </w:tc>
        <w:tc>
          <w:tcPr>
            <w:tcW w:type="dxa" w:w="2422"/>
            <w:shd w:val="clear" w:color="auto" w:fill="F2F2F2"/>
          </w:tcPr>
          <w:p>
            <w:pPr>
              <w:spacing w:before="20" w:after="20"/>
              <w:jc w:val="center"/>
            </w:pPr>
            <w:r>
              <w:rPr>
                <w:rFonts w:ascii="Calibri" w:hAnsi="Calibri"/>
                <w:b/>
                <w:i w:val="0"/>
                <w:color w:val="404040"/>
                <w:sz w:val="18"/>
              </w:rPr>
              <w:t>~</w:t>
            </w:r>
          </w:p>
        </w:tc>
      </w:tr>
      <w:tr>
        <w:tc>
          <w:tcPr>
            <w:tcW w:type="dxa" w:w="2422"/>
            <w:shd w:val="clear" w:color="auto" w:fill="BDD7EE"/>
          </w:tcPr>
          <w:p>
            <w:pPr>
              <w:spacing w:before="20" w:after="20"/>
              <w:jc w:val="left"/>
            </w:pPr>
            <w:r>
              <w:rPr>
                <w:rFonts w:ascii="Calibri" w:hAnsi="Calibri"/>
                <w:b w:val="0"/>
                <w:i w:val="0"/>
                <w:sz w:val="18"/>
              </w:rPr>
              <w:t>Code Similarity %</w:t>
            </w:r>
          </w:p>
        </w:tc>
        <w:tc>
          <w:tcPr>
            <w:tcW w:type="dxa" w:w="2422"/>
            <w:shd w:val="clear" w:color="auto" w:fill="BDD7EE"/>
          </w:tcPr>
          <w:p>
            <w:pPr>
              <w:spacing w:before="20" w:after="20"/>
              <w:jc w:val="center"/>
            </w:pPr>
            <w:r>
              <w:rPr>
                <w:rFonts w:ascii="Calibri" w:hAnsi="Calibri"/>
                <w:b w:val="0"/>
                <w:i w:val="0"/>
                <w:sz w:val="18"/>
              </w:rPr>
              <w:t>11.79%</w:t>
            </w:r>
          </w:p>
        </w:tc>
        <w:tc>
          <w:tcPr>
            <w:tcW w:type="dxa" w:w="2422"/>
            <w:shd w:val="clear" w:color="auto" w:fill="BDD7EE"/>
          </w:tcPr>
          <w:p>
            <w:pPr>
              <w:spacing w:before="20" w:after="20"/>
              <w:jc w:val="left"/>
            </w:pPr>
            <w:r>
              <w:rPr>
                <w:rFonts w:ascii="Calibri" w:hAnsi="Calibri"/>
                <w:b w:val="0"/>
                <w:i w:val="0"/>
                <w:sz w:val="18"/>
              </w:rPr>
              <w:t>Higher is better (informational)</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F2F2F2"/>
          </w:tcPr>
          <w:p>
            <w:pPr>
              <w:spacing w:before="20" w:after="20"/>
              <w:jc w:val="left"/>
            </w:pPr>
            <w:r>
              <w:rPr>
                <w:rFonts w:ascii="Calibri" w:hAnsi="Calibri"/>
                <w:b w:val="0"/>
                <w:i w:val="0"/>
                <w:sz w:val="18"/>
              </w:rPr>
              <w:t>Composite Score /100</w:t>
            </w:r>
          </w:p>
        </w:tc>
        <w:tc>
          <w:tcPr>
            <w:tcW w:type="dxa" w:w="2422"/>
            <w:shd w:val="clear" w:color="auto" w:fill="F2F2F2"/>
          </w:tcPr>
          <w:p>
            <w:pPr>
              <w:spacing w:before="20" w:after="20"/>
              <w:jc w:val="center"/>
            </w:pPr>
            <w:r>
              <w:rPr>
                <w:rFonts w:ascii="Calibri" w:hAnsi="Calibri"/>
                <w:b w:val="0"/>
                <w:i w:val="0"/>
                <w:sz w:val="18"/>
              </w:rPr>
              <w:t>92.10</w:t>
            </w:r>
          </w:p>
        </w:tc>
        <w:tc>
          <w:tcPr>
            <w:tcW w:type="dxa" w:w="2422"/>
            <w:shd w:val="clear" w:color="auto" w:fill="F2F2F2"/>
          </w:tcPr>
          <w:p>
            <w:pPr>
              <w:spacing w:before="20" w:after="20"/>
              <w:jc w:val="left"/>
            </w:pPr>
            <w:r>
              <w:rPr>
                <w:rFonts w:ascii="Calibri" w:hAnsi="Calibri"/>
                <w:b w:val="0"/>
                <w:i w:val="0"/>
                <w:sz w:val="18"/>
              </w:rPr>
              <w:t>Higher is better</w:t>
            </w:r>
          </w:p>
        </w:tc>
        <w:tc>
          <w:tcPr>
            <w:tcW w:type="dxa" w:w="2422"/>
            <w:shd w:val="clear" w:color="auto" w:fill="F2F2F2"/>
          </w:tcPr>
          <w:p>
            <w:pPr>
              <w:spacing w:before="20" w:after="20"/>
              <w:jc w:val="center"/>
            </w:pPr>
            <w:r>
              <w:rPr>
                <w:rFonts w:ascii="Calibri" w:hAnsi="Calibri"/>
                <w:b/>
                <w:i w:val="0"/>
                <w:color w:val="404040"/>
                <w:sz w:val="18"/>
              </w:rPr>
              <w:t>~</w:t>
            </w:r>
          </w:p>
        </w:tc>
      </w:tr>
      <w:tr>
        <w:tc>
          <w:tcPr>
            <w:tcW w:type="dxa" w:w="2422"/>
            <w:shd w:val="clear" w:color="auto" w:fill="FFFFFF"/>
          </w:tcPr>
          <w:p>
            <w:pPr>
              <w:spacing w:before="20" w:after="20"/>
              <w:jc w:val="left"/>
            </w:pPr>
            <w:r>
              <w:rPr>
                <w:rFonts w:ascii="Calibri" w:hAnsi="Calibri"/>
                <w:b w:val="0"/>
                <w:i w:val="0"/>
                <w:sz w:val="18"/>
              </w:rPr>
              <w:t>Final Rank</w:t>
            </w:r>
          </w:p>
        </w:tc>
        <w:tc>
          <w:tcPr>
            <w:tcW w:type="dxa" w:w="2422"/>
            <w:shd w:val="clear" w:color="auto" w:fill="FFFFFF"/>
          </w:tcPr>
          <w:p>
            <w:pPr>
              <w:spacing w:before="20" w:after="20"/>
              <w:jc w:val="center"/>
            </w:pPr>
            <w:r>
              <w:rPr>
                <w:rFonts w:ascii="Calibri" w:hAnsi="Calibri"/>
                <w:b w:val="0"/>
                <w:i w:val="0"/>
                <w:sz w:val="18"/>
              </w:rPr>
              <w:t>7 / 9</w:t>
            </w:r>
          </w:p>
        </w:tc>
        <w:tc>
          <w:tcPr>
            <w:tcW w:type="dxa" w:w="2422"/>
            <w:shd w:val="clear" w:color="auto" w:fill="FFFFFF"/>
          </w:tcPr>
          <w:p>
            <w:pPr>
              <w:spacing w:before="20" w:after="20"/>
              <w:jc w:val="left"/>
            </w:pPr>
            <w:r>
              <w:rPr>
                <w:rFonts w:ascii="Calibri" w:hAnsi="Calibri"/>
                <w:b w:val="0"/>
                <w:i w:val="0"/>
                <w:sz w:val="18"/>
              </w:rPr>
              <w:t>Lower is better</w:t>
            </w:r>
          </w:p>
        </w:tc>
        <w:tc>
          <w:tcPr>
            <w:tcW w:type="dxa" w:w="2422"/>
            <w:shd w:val="clear" w:color="auto" w:fill="FFFFFF"/>
          </w:tcPr>
          <w:p>
            <w:pPr>
              <w:spacing w:before="20" w:after="20"/>
              <w:jc w:val="center"/>
            </w:pPr>
            <w:r>
              <w:rPr>
                <w:rFonts w:ascii="Calibri" w:hAnsi="Calibri"/>
                <w:b/>
                <w:i w:val="0"/>
                <w:color w:val="404040"/>
                <w:sz w:val="18"/>
              </w:rPr>
              <w:t>~</w:t>
            </w:r>
          </w:p>
        </w:tc>
      </w:tr>
    </w:tbl>
    <w:p>
      <w:r>
        <w:br w:type="page"/>
      </w:r>
    </w:p>
    <w:p>
      <w:pPr>
        <w:pStyle w:val="Heading2"/>
      </w:pPr>
      <w:r>
        <w:rPr>
          <w:color w:val="1F3564"/>
        </w:rPr>
        <w:t>E06 – Hybrid RAG (Dense + Sparse)</w:t>
      </w:r>
    </w:p>
    <w:p>
      <w:pPr>
        <w:spacing w:before="120" w:after="40"/>
      </w:pPr>
      <w:r>
        <w:rPr>
          <w:rFonts w:ascii="Calibri" w:hAnsi="Calibri"/>
          <w:b/>
          <w:color w:val="2E74B5"/>
          <w:sz w:val="21"/>
        </w:rPr>
        <w:t>Goal</w:t>
      </w:r>
    </w:p>
    <w:p>
      <w:pPr>
        <w:spacing w:before="40" w:after="40"/>
      </w:pPr>
      <w:r>
        <w:rPr>
          <w:rFonts w:ascii="Calibri" w:hAnsi="Calibri"/>
          <w:b w:val="0"/>
          <w:i w:val="0"/>
          <w:sz w:val="21"/>
        </w:rPr>
        <w:t>This experiment evaluates whether combining dense semantic retrieval and sparse BM25 keyword retrieval produces better Terraform code than either approach alone. Hybrid retrieval merges results from both systems and deduplicates them before passing the combined context to the LLM.</w:t>
      </w:r>
    </w:p>
    <w:p>
      <w:pPr>
        <w:spacing w:before="40" w:after="40"/>
      </w:pPr>
      <w:r>
        <w:rPr>
          <w:rFonts w:ascii="Calibri" w:hAnsi="Calibri"/>
          <w:b/>
          <w:i w:val="0"/>
          <w:sz w:val="20"/>
        </w:rPr>
        <w:t>Primary Evaluation Focus: Resource Coverage, Dependency Correctness, Provider Correctness</w:t>
      </w:r>
    </w:p>
    <w:p>
      <w:pPr>
        <w:spacing w:before="120" w:after="40"/>
      </w:pPr>
      <w:r>
        <w:rPr>
          <w:rFonts w:ascii="Calibri" w:hAnsi="Calibri"/>
          <w:b/>
          <w:color w:val="2E74B5"/>
          <w:sz w:val="21"/>
        </w:rPr>
        <w:t>Implementation Steps</w:t>
      </w:r>
    </w:p>
    <w:p>
      <w:pPr>
        <w:pStyle w:val="ListBullet"/>
        <w:spacing w:before="20" w:after="20"/>
      </w:pPr>
      <w:r>
        <w:rPr>
          <w:rFonts w:ascii="Calibri" w:hAnsi="Calibri"/>
          <w:sz w:val="20"/>
        </w:rPr>
        <w:t>Both ChromaDB (dense) and BM25 (sparse) retrieval were applied independently to each test prompt.</w:t>
      </w:r>
    </w:p>
    <w:p>
      <w:pPr>
        <w:pStyle w:val="ListBullet"/>
        <w:spacing w:before="20" w:after="20"/>
      </w:pPr>
      <w:r>
        <w:rPr>
          <w:rFonts w:ascii="Calibri" w:hAnsi="Calibri"/>
          <w:sz w:val="20"/>
        </w:rPr>
        <w:t>Results from both retrievers were merged and deduplicated to form a single combined context.</w:t>
      </w:r>
    </w:p>
    <w:p>
      <w:pPr>
        <w:pStyle w:val="ListBullet"/>
        <w:spacing w:before="20" w:after="20"/>
      </w:pPr>
      <w:r>
        <w:rPr>
          <w:rFonts w:ascii="Calibri" w:hAnsi="Calibri"/>
          <w:sz w:val="20"/>
        </w:rPr>
        <w:t>The hybrid context was appended to the prompt before the generation instruction.</w:t>
      </w:r>
    </w:p>
    <w:p>
      <w:pPr>
        <w:pStyle w:val="ListBullet"/>
        <w:spacing w:before="20" w:after="20"/>
      </w:pPr>
      <w:r>
        <w:rPr>
          <w:rFonts w:ascii="Calibri" w:hAnsi="Calibri"/>
          <w:sz w:val="20"/>
        </w:rPr>
        <w:t>The enriched prompt was passed to LLaMA 3.3 70B and the generated code was collected.</w:t>
      </w:r>
    </w:p>
    <w:p>
      <w:pPr>
        <w:pStyle w:val="ListBullet"/>
        <w:spacing w:before="20" w:after="20"/>
      </w:pPr>
      <w:r>
        <w:rPr>
          <w:rFonts w:ascii="Calibri" w:hAnsi="Calibri"/>
          <w:sz w:val="20"/>
        </w:rPr>
        <w:t>All ten offline evaluation metrics were computed and stored in E06_HybridRAG_results.json.</w:t>
      </w:r>
    </w:p>
    <w:p>
      <w:pPr>
        <w:spacing w:before="120" w:after="40"/>
      </w:pPr>
      <w:r>
        <w:rPr>
          <w:rFonts w:ascii="Calibri" w:hAnsi="Calibri"/>
          <w:b/>
          <w:color w:val="2E74B5"/>
          <w:sz w:val="21"/>
        </w:rPr>
        <w:t>Results Discussion</w:t>
      </w:r>
    </w:p>
    <w:p>
      <w:pPr>
        <w:pStyle w:val="ListBullet"/>
        <w:spacing w:before="20" w:after="20"/>
      </w:pPr>
      <w:r>
        <w:rPr>
          <w:rFonts w:ascii="Calibri" w:hAnsi="Calibri"/>
          <w:b/>
          <w:sz w:val="20"/>
        </w:rPr>
        <w:t xml:space="preserve">HCL Syntax Validity (99.67%): </w:t>
      </w:r>
      <w:r>
        <w:rPr>
          <w:rFonts w:ascii="Calibri" w:hAnsi="Calibri"/>
          <w:sz w:val="20"/>
        </w:rPr>
        <w:t>Near-perfect syntax. Larger combined context may occasionally introduce minor structural ambiguity.</w:t>
      </w:r>
    </w:p>
    <w:p>
      <w:pPr>
        <w:pStyle w:val="ListBullet"/>
        <w:spacing w:before="20" w:after="20"/>
      </w:pPr>
      <w:r>
        <w:rPr>
          <w:rFonts w:ascii="Calibri" w:hAnsi="Calibri"/>
          <w:b/>
          <w:sz w:val="20"/>
        </w:rPr>
        <w:t xml:space="preserve">Terraform Format Pass (100%): </w:t>
      </w:r>
      <w:r>
        <w:rPr>
          <w:rFonts w:ascii="Calibri" w:hAnsi="Calibri"/>
          <w:sz w:val="20"/>
        </w:rPr>
        <w:t>Perfect formatting restored compared to Sparse RAG alone.</w:t>
      </w:r>
    </w:p>
    <w:p>
      <w:pPr>
        <w:pStyle w:val="ListBullet"/>
        <w:spacing w:before="20" w:after="20"/>
      </w:pPr>
      <w:r>
        <w:rPr>
          <w:rFonts w:ascii="Calibri" w:hAnsi="Calibri"/>
          <w:b/>
          <w:sz w:val="20"/>
        </w:rPr>
        <w:t xml:space="preserve">Terraform Validation Pass (98.67%): </w:t>
      </w:r>
      <w:r>
        <w:rPr>
          <w:rFonts w:ascii="Calibri" w:hAnsi="Calibri"/>
          <w:sz w:val="20"/>
        </w:rPr>
        <w:t>Slight drop — combined context is longer and may introduce conflicting argument patterns from different modules.</w:t>
      </w:r>
    </w:p>
    <w:p>
      <w:pPr>
        <w:pStyle w:val="ListBullet"/>
        <w:spacing w:before="20" w:after="20"/>
      </w:pPr>
      <w:r>
        <w:rPr>
          <w:rFonts w:ascii="Calibri" w:hAnsi="Calibri"/>
          <w:b/>
          <w:sz w:val="20"/>
        </w:rPr>
        <w:t xml:space="preserve">Provider Correctness (100%): </w:t>
      </w:r>
      <w:r>
        <w:rPr>
          <w:rFonts w:ascii="Calibri" w:hAnsi="Calibri"/>
          <w:sz w:val="20"/>
        </w:rPr>
        <w:t>Perfect provider correctness restored. Dense retrieval corrects the cross-provider errors observed in Sparse RAG.</w:t>
      </w:r>
    </w:p>
    <w:p>
      <w:pPr>
        <w:pStyle w:val="ListBullet"/>
        <w:spacing w:before="20" w:after="20"/>
      </w:pPr>
      <w:r>
        <w:rPr>
          <w:rFonts w:ascii="Calibri" w:hAnsi="Calibri"/>
          <w:b/>
          <w:sz w:val="20"/>
        </w:rPr>
        <w:t xml:space="preserve">Resource Coverage (91.17%): </w:t>
      </w:r>
      <w:r>
        <w:rPr>
          <w:rFonts w:ascii="Calibri" w:hAnsi="Calibri"/>
          <w:sz w:val="20"/>
        </w:rPr>
        <w:t>Best resource coverage in RAG experiments (E04–E07), exceeding Dense RAG alone.</w:t>
      </w:r>
    </w:p>
    <w:p>
      <w:pPr>
        <w:pStyle w:val="ListBullet"/>
        <w:spacing w:before="20" w:after="20"/>
      </w:pPr>
      <w:r>
        <w:rPr>
          <w:rFonts w:ascii="Calibri" w:hAnsi="Calibri"/>
          <w:b/>
          <w:sz w:val="20"/>
        </w:rPr>
        <w:t xml:space="preserve">Dependency Score (97.72%): </w:t>
      </w:r>
      <w:r>
        <w:rPr>
          <w:rFonts w:ascii="Calibri" w:hAnsi="Calibri"/>
          <w:sz w:val="20"/>
        </w:rPr>
        <w:t>Improved over both Dense and Sparse RAG individually — combined context provides more complete examples of resource relationships.</w:t>
      </w:r>
    </w:p>
    <w:p>
      <w:pPr>
        <w:pStyle w:val="ListBullet"/>
        <w:spacing w:before="20" w:after="20"/>
      </w:pPr>
      <w:r>
        <w:rPr>
          <w:rFonts w:ascii="Calibri" w:hAnsi="Calibri"/>
          <w:b/>
          <w:sz w:val="20"/>
        </w:rPr>
        <w:t xml:space="preserve">Security Issues (0.16 per sample): </w:t>
      </w:r>
      <w:r>
        <w:rPr>
          <w:rFonts w:ascii="Calibri" w:hAnsi="Calibri"/>
          <w:sz w:val="20"/>
        </w:rPr>
        <w:t>Mid-range security profile, slightly higher than Dense RAG alone.</w:t>
      </w:r>
    </w:p>
    <w:p>
      <w:pPr>
        <w:pStyle w:val="ListBullet"/>
        <w:spacing w:before="20" w:after="20"/>
      </w:pPr>
      <w:r>
        <w:rPr>
          <w:rFonts w:ascii="Calibri" w:hAnsi="Calibri"/>
          <w:b/>
          <w:sz w:val="20"/>
        </w:rPr>
        <w:t xml:space="preserve">Code Similarity (11.93%): </w:t>
      </w:r>
      <w:r>
        <w:rPr>
          <w:rFonts w:ascii="Calibri" w:hAnsi="Calibri"/>
          <w:sz w:val="20"/>
        </w:rPr>
        <w:t>Strong code similarity, between Dense and Sparse RAG, confirming effective grounding in real TerraDS patterns.</w:t>
      </w:r>
    </w:p>
    <w:p>
      <w:pPr>
        <w:pStyle w:val="ListBullet"/>
        <w:spacing w:before="20" w:after="20"/>
      </w:pPr>
      <w:r>
        <w:rPr>
          <w:rFonts w:ascii="Calibri" w:hAnsi="Calibri"/>
          <w:b/>
          <w:sz w:val="20"/>
        </w:rPr>
        <w:t xml:space="preserve">Best-Practice Score (45.12%): </w:t>
      </w:r>
      <w:r>
        <w:rPr>
          <w:rFonts w:ascii="Calibri" w:hAnsi="Calibri"/>
          <w:sz w:val="20"/>
        </w:rPr>
        <w:t>Comparable to other RAG experiments.</w:t>
      </w:r>
    </w:p>
    <w:p>
      <w:pPr>
        <w:pStyle w:val="ListBullet"/>
        <w:spacing w:before="20" w:after="20"/>
      </w:pPr>
      <w:r>
        <w:rPr>
          <w:rFonts w:ascii="Calibri" w:hAnsi="Calibri"/>
          <w:b/>
          <w:sz w:val="20"/>
        </w:rPr>
        <w:t xml:space="preserve">Final Weighted Score (92.55 / Rank 4): </w:t>
      </w:r>
      <w:r>
        <w:rPr>
          <w:rFonts w:ascii="Calibri" w:hAnsi="Calibri"/>
          <w:sz w:val="20"/>
        </w:rPr>
        <w:t>Fourth-best result overall. Hybrid RAG outperforms both individual retrieval strategies in resource coverage and dependency quality.</w:t>
      </w:r>
    </w:p>
    <w:p>
      <w:pPr>
        <w:spacing w:before="120" w:after="40"/>
      </w:pPr>
      <w:r>
        <w:rPr>
          <w:rFonts w:ascii="Calibri" w:hAnsi="Calibri"/>
          <w:b/>
          <w:color w:val="2E74B5"/>
          <w:sz w:val="21"/>
        </w:rPr>
        <w:t>Advantages</w:t>
      </w:r>
    </w:p>
    <w:p>
      <w:pPr>
        <w:pStyle w:val="ListBullet"/>
        <w:spacing w:before="20" w:after="20"/>
      </w:pPr>
      <w:r>
        <w:rPr>
          <w:rFonts w:ascii="Calibri" w:hAnsi="Calibri"/>
          <w:sz w:val="20"/>
        </w:rPr>
        <w:t>Best resource coverage among the three RAG variants, benefiting from complementary retrieval signals.</w:t>
      </w:r>
    </w:p>
    <w:p>
      <w:pPr>
        <w:pStyle w:val="ListBullet"/>
        <w:spacing w:before="20" w:after="20"/>
      </w:pPr>
      <w:r>
        <w:rPr>
          <w:rFonts w:ascii="Calibri" w:hAnsi="Calibri"/>
          <w:sz w:val="20"/>
        </w:rPr>
        <w:t>Restores perfect provider correctness and formatting lost in Sparse RAG.</w:t>
      </w:r>
    </w:p>
    <w:p>
      <w:pPr>
        <w:pStyle w:val="ListBullet"/>
        <w:spacing w:before="20" w:after="20"/>
      </w:pPr>
      <w:r>
        <w:rPr>
          <w:rFonts w:ascii="Calibri" w:hAnsi="Calibri"/>
          <w:sz w:val="20"/>
        </w:rPr>
        <w:t>Improved dependency score — combined context captures more complete infrastructure patterns.</w:t>
      </w:r>
    </w:p>
    <w:p>
      <w:pPr>
        <w:spacing w:before="120" w:after="40"/>
      </w:pPr>
      <w:r>
        <w:rPr>
          <w:rFonts w:ascii="Calibri" w:hAnsi="Calibri"/>
          <w:b/>
          <w:color w:val="2E74B5"/>
          <w:sz w:val="21"/>
        </w:rPr>
        <w:t>Disadvantages</w:t>
      </w:r>
    </w:p>
    <w:p>
      <w:pPr>
        <w:pStyle w:val="ListBullet"/>
        <w:spacing w:before="20" w:after="20"/>
      </w:pPr>
      <w:r>
        <w:rPr>
          <w:rFonts w:ascii="Calibri" w:hAnsi="Calibri"/>
          <w:sz w:val="20"/>
        </w:rPr>
        <w:t>Requires both a vector index (ChromaDB) and a keyword index (BM25), increasing infrastructure complexity.</w:t>
      </w:r>
    </w:p>
    <w:p>
      <w:pPr>
        <w:pStyle w:val="ListBullet"/>
        <w:spacing w:before="20" w:after="20"/>
      </w:pPr>
      <w:r>
        <w:rPr>
          <w:rFonts w:ascii="Calibri" w:hAnsi="Calibri"/>
          <w:sz w:val="20"/>
        </w:rPr>
        <w:t>Validation pass rate is slightly lower than Dense RAG alone due to longer, potentially conflicting retrieved context.</w:t>
      </w:r>
    </w:p>
    <w:p>
      <w:pPr>
        <w:pStyle w:val="ListBullet"/>
        <w:spacing w:before="20" w:after="20"/>
      </w:pPr>
      <w:r>
        <w:rPr>
          <w:rFonts w:ascii="Calibri" w:hAnsi="Calibri"/>
          <w:sz w:val="20"/>
        </w:rPr>
        <w:t>Marginal gains over Dense RAG alone may not always justify the additional retrieval overhead.</w:t>
      </w:r>
    </w:p>
    <w:p>
      <w:pPr>
        <w:spacing w:before="120" w:after="40"/>
      </w:pPr>
      <w:r>
        <w:rPr>
          <w:rFonts w:ascii="Calibri" w:hAnsi="Calibri"/>
          <w:b/>
          <w:color w:val="2E74B5"/>
          <w:sz w:val="21"/>
        </w:rPr>
        <w:t>Main Results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F3564"/>
          </w:tcPr>
          <w:p>
            <w:pPr>
              <w:spacing w:before="20" w:after="20"/>
              <w:jc w:val="center"/>
            </w:pPr>
            <w:r>
              <w:rPr>
                <w:rFonts w:ascii="Calibri" w:hAnsi="Calibri"/>
                <w:b/>
                <w:i w:val="0"/>
                <w:color w:val="FFFFFF"/>
                <w:sz w:val="18"/>
              </w:rPr>
              <w:t>Metric</w:t>
            </w:r>
          </w:p>
        </w:tc>
        <w:tc>
          <w:tcPr>
            <w:tcW w:type="dxa" w:w="2422"/>
            <w:shd w:val="clear" w:color="auto" w:fill="1F3564"/>
          </w:tcPr>
          <w:p>
            <w:pPr>
              <w:spacing w:before="20" w:after="20"/>
              <w:jc w:val="center"/>
            </w:pPr>
            <w:r>
              <w:rPr>
                <w:rFonts w:ascii="Calibri" w:hAnsi="Calibri"/>
                <w:b/>
                <w:i w:val="0"/>
                <w:color w:val="FFFFFF"/>
                <w:sz w:val="18"/>
              </w:rPr>
              <w:t>Value</w:t>
            </w:r>
          </w:p>
        </w:tc>
        <w:tc>
          <w:tcPr>
            <w:tcW w:type="dxa" w:w="2422"/>
            <w:shd w:val="clear" w:color="auto" w:fill="1F3564"/>
          </w:tcPr>
          <w:p>
            <w:pPr>
              <w:spacing w:before="20" w:after="20"/>
              <w:jc w:val="center"/>
            </w:pPr>
            <w:r>
              <w:rPr>
                <w:rFonts w:ascii="Calibri" w:hAnsi="Calibri"/>
                <w:b/>
                <w:i w:val="0"/>
                <w:color w:val="FFFFFF"/>
                <w:sz w:val="18"/>
              </w:rPr>
              <w:t>Direction</w:t>
            </w:r>
          </w:p>
        </w:tc>
        <w:tc>
          <w:tcPr>
            <w:tcW w:type="dxa" w:w="2422"/>
            <w:shd w:val="clear" w:color="auto" w:fill="1F3564"/>
          </w:tcPr>
          <w:p>
            <w:pPr>
              <w:spacing w:before="20" w:after="20"/>
              <w:jc w:val="center"/>
            </w:pPr>
            <w:r>
              <w:rPr>
                <w:rFonts w:ascii="Calibri" w:hAnsi="Calibri"/>
                <w:b/>
                <w:i w:val="0"/>
                <w:color w:val="FFFFFF"/>
                <w:sz w:val="18"/>
              </w:rPr>
              <w:t>Status</w:t>
            </w:r>
          </w:p>
        </w:tc>
      </w:tr>
      <w:tr>
        <w:tc>
          <w:tcPr>
            <w:tcW w:type="dxa" w:w="2422"/>
            <w:shd w:val="clear" w:color="auto" w:fill="BDD7EE"/>
          </w:tcPr>
          <w:p>
            <w:pPr>
              <w:spacing w:before="20" w:after="20"/>
              <w:jc w:val="left"/>
            </w:pPr>
            <w:r>
              <w:rPr>
                <w:rFonts w:ascii="Calibri" w:hAnsi="Calibri"/>
                <w:b w:val="0"/>
                <w:i w:val="0"/>
                <w:sz w:val="18"/>
              </w:rPr>
              <w:t>HCL Syntax Validity %</w:t>
            </w:r>
          </w:p>
        </w:tc>
        <w:tc>
          <w:tcPr>
            <w:tcW w:type="dxa" w:w="2422"/>
            <w:shd w:val="clear" w:color="auto" w:fill="BDD7EE"/>
          </w:tcPr>
          <w:p>
            <w:pPr>
              <w:spacing w:before="20" w:after="20"/>
              <w:jc w:val="center"/>
            </w:pPr>
            <w:r>
              <w:rPr>
                <w:rFonts w:ascii="Calibri" w:hAnsi="Calibri"/>
                <w:b w:val="0"/>
                <w:i w:val="0"/>
                <w:sz w:val="18"/>
              </w:rPr>
              <w:t>99.67%</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Terraform Format Pass %</w:t>
            </w:r>
          </w:p>
        </w:tc>
        <w:tc>
          <w:tcPr>
            <w:tcW w:type="dxa" w:w="2422"/>
            <w:shd w:val="clear" w:color="auto" w:fill="BDD7EE"/>
          </w:tcPr>
          <w:p>
            <w:pPr>
              <w:spacing w:before="20" w:after="20"/>
              <w:jc w:val="center"/>
            </w:pPr>
            <w:r>
              <w:rPr>
                <w:rFonts w:ascii="Calibri" w:hAnsi="Calibri"/>
                <w:b w:val="0"/>
                <w:i w:val="0"/>
                <w:sz w:val="18"/>
              </w:rPr>
              <w:t>100.00%</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F2F2F2"/>
          </w:tcPr>
          <w:p>
            <w:pPr>
              <w:spacing w:before="20" w:after="20"/>
              <w:jc w:val="left"/>
            </w:pPr>
            <w:r>
              <w:rPr>
                <w:rFonts w:ascii="Calibri" w:hAnsi="Calibri"/>
                <w:b w:val="0"/>
                <w:i w:val="0"/>
                <w:sz w:val="18"/>
              </w:rPr>
              <w:t>Terraform Validation Pass %</w:t>
            </w:r>
          </w:p>
        </w:tc>
        <w:tc>
          <w:tcPr>
            <w:tcW w:type="dxa" w:w="2422"/>
            <w:shd w:val="clear" w:color="auto" w:fill="F2F2F2"/>
          </w:tcPr>
          <w:p>
            <w:pPr>
              <w:spacing w:before="20" w:after="20"/>
              <w:jc w:val="center"/>
            </w:pPr>
            <w:r>
              <w:rPr>
                <w:rFonts w:ascii="Calibri" w:hAnsi="Calibri"/>
                <w:b w:val="0"/>
                <w:i w:val="0"/>
                <w:sz w:val="18"/>
              </w:rPr>
              <w:t>98.67%</w:t>
            </w:r>
          </w:p>
        </w:tc>
        <w:tc>
          <w:tcPr>
            <w:tcW w:type="dxa" w:w="2422"/>
            <w:shd w:val="clear" w:color="auto" w:fill="F2F2F2"/>
          </w:tcPr>
          <w:p>
            <w:pPr>
              <w:spacing w:before="20" w:after="20"/>
              <w:jc w:val="left"/>
            </w:pPr>
            <w:r>
              <w:rPr>
                <w:rFonts w:ascii="Calibri" w:hAnsi="Calibri"/>
                <w:b w:val="0"/>
                <w:i w:val="0"/>
                <w:sz w:val="18"/>
              </w:rPr>
              <w:t>Higher is better</w:t>
            </w:r>
          </w:p>
        </w:tc>
        <w:tc>
          <w:tcPr>
            <w:tcW w:type="dxa" w:w="2422"/>
            <w:shd w:val="clear" w:color="auto" w:fill="F2F2F2"/>
          </w:tcPr>
          <w:p>
            <w:pPr>
              <w:spacing w:before="20" w:after="20"/>
              <w:jc w:val="center"/>
            </w:pPr>
            <w:r>
              <w:rPr>
                <w:rFonts w:ascii="Calibri" w:hAnsi="Calibri"/>
                <w:b/>
                <w:i w:val="0"/>
                <w:color w:val="404040"/>
                <w:sz w:val="18"/>
              </w:rPr>
              <w:t>~</w:t>
            </w:r>
          </w:p>
        </w:tc>
      </w:tr>
      <w:tr>
        <w:tc>
          <w:tcPr>
            <w:tcW w:type="dxa" w:w="2422"/>
            <w:shd w:val="clear" w:color="auto" w:fill="BDD7EE"/>
          </w:tcPr>
          <w:p>
            <w:pPr>
              <w:spacing w:before="20" w:after="20"/>
              <w:jc w:val="left"/>
            </w:pPr>
            <w:r>
              <w:rPr>
                <w:rFonts w:ascii="Calibri" w:hAnsi="Calibri"/>
                <w:b w:val="0"/>
                <w:i w:val="0"/>
                <w:sz w:val="18"/>
              </w:rPr>
              <w:t>Provider Correctness %</w:t>
            </w:r>
          </w:p>
        </w:tc>
        <w:tc>
          <w:tcPr>
            <w:tcW w:type="dxa" w:w="2422"/>
            <w:shd w:val="clear" w:color="auto" w:fill="BDD7EE"/>
          </w:tcPr>
          <w:p>
            <w:pPr>
              <w:spacing w:before="20" w:after="20"/>
              <w:jc w:val="center"/>
            </w:pPr>
            <w:r>
              <w:rPr>
                <w:rFonts w:ascii="Calibri" w:hAnsi="Calibri"/>
                <w:b w:val="0"/>
                <w:i w:val="0"/>
                <w:sz w:val="18"/>
              </w:rPr>
              <w:t>100.00%</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Resource Coverage %</w:t>
            </w:r>
          </w:p>
        </w:tc>
        <w:tc>
          <w:tcPr>
            <w:tcW w:type="dxa" w:w="2422"/>
            <w:shd w:val="clear" w:color="auto" w:fill="BDD7EE"/>
          </w:tcPr>
          <w:p>
            <w:pPr>
              <w:spacing w:before="20" w:after="20"/>
              <w:jc w:val="center"/>
            </w:pPr>
            <w:r>
              <w:rPr>
                <w:rFonts w:ascii="Calibri" w:hAnsi="Calibri"/>
                <w:b w:val="0"/>
                <w:i w:val="0"/>
                <w:sz w:val="18"/>
              </w:rPr>
              <w:t>91.17%</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FFFFFF"/>
          </w:tcPr>
          <w:p>
            <w:pPr>
              <w:spacing w:before="20" w:after="20"/>
              <w:jc w:val="left"/>
            </w:pPr>
            <w:r>
              <w:rPr>
                <w:rFonts w:ascii="Calibri" w:hAnsi="Calibri"/>
                <w:b w:val="0"/>
                <w:i w:val="0"/>
                <w:sz w:val="18"/>
              </w:rPr>
              <w:t>Dependency Score %</w:t>
            </w:r>
          </w:p>
        </w:tc>
        <w:tc>
          <w:tcPr>
            <w:tcW w:type="dxa" w:w="2422"/>
            <w:shd w:val="clear" w:color="auto" w:fill="FFFFFF"/>
          </w:tcPr>
          <w:p>
            <w:pPr>
              <w:spacing w:before="20" w:after="20"/>
              <w:jc w:val="center"/>
            </w:pPr>
            <w:r>
              <w:rPr>
                <w:rFonts w:ascii="Calibri" w:hAnsi="Calibri"/>
                <w:b w:val="0"/>
                <w:i w:val="0"/>
                <w:sz w:val="18"/>
              </w:rPr>
              <w:t>97.72%</w:t>
            </w:r>
          </w:p>
        </w:tc>
        <w:tc>
          <w:tcPr>
            <w:tcW w:type="dxa" w:w="2422"/>
            <w:shd w:val="clear" w:color="auto" w:fill="FFFFFF"/>
          </w:tcPr>
          <w:p>
            <w:pPr>
              <w:spacing w:before="20" w:after="20"/>
              <w:jc w:val="left"/>
            </w:pPr>
            <w:r>
              <w:rPr>
                <w:rFonts w:ascii="Calibri" w:hAnsi="Calibri"/>
                <w:b w:val="0"/>
                <w:i w:val="0"/>
                <w:sz w:val="18"/>
              </w:rPr>
              <w:t>Higher is better</w:t>
            </w:r>
          </w:p>
        </w:tc>
        <w:tc>
          <w:tcPr>
            <w:tcW w:type="dxa" w:w="2422"/>
            <w:shd w:val="clear" w:color="auto" w:fill="FFFFFF"/>
          </w:tcPr>
          <w:p>
            <w:pPr>
              <w:spacing w:before="20" w:after="20"/>
              <w:jc w:val="center"/>
            </w:pPr>
            <w:r>
              <w:rPr>
                <w:rFonts w:ascii="Calibri" w:hAnsi="Calibri"/>
                <w:b/>
                <w:i w:val="0"/>
                <w:color w:val="404040"/>
                <w:sz w:val="18"/>
              </w:rPr>
              <w:t>~</w:t>
            </w:r>
          </w:p>
        </w:tc>
      </w:tr>
      <w:tr>
        <w:tc>
          <w:tcPr>
            <w:tcW w:type="dxa" w:w="2422"/>
            <w:shd w:val="clear" w:color="auto" w:fill="BDD7EE"/>
          </w:tcPr>
          <w:p>
            <w:pPr>
              <w:spacing w:before="20" w:after="20"/>
              <w:jc w:val="left"/>
            </w:pPr>
            <w:r>
              <w:rPr>
                <w:rFonts w:ascii="Calibri" w:hAnsi="Calibri"/>
                <w:b w:val="0"/>
                <w:i w:val="0"/>
                <w:sz w:val="18"/>
              </w:rPr>
              <w:t>Security Issues (avg)</w:t>
            </w:r>
          </w:p>
        </w:tc>
        <w:tc>
          <w:tcPr>
            <w:tcW w:type="dxa" w:w="2422"/>
            <w:shd w:val="clear" w:color="auto" w:fill="BDD7EE"/>
          </w:tcPr>
          <w:p>
            <w:pPr>
              <w:spacing w:before="20" w:after="20"/>
              <w:jc w:val="center"/>
            </w:pPr>
            <w:r>
              <w:rPr>
                <w:rFonts w:ascii="Calibri" w:hAnsi="Calibri"/>
                <w:b w:val="0"/>
                <w:i w:val="0"/>
                <w:sz w:val="18"/>
              </w:rPr>
              <w:t>0.1600</w:t>
            </w:r>
          </w:p>
        </w:tc>
        <w:tc>
          <w:tcPr>
            <w:tcW w:type="dxa" w:w="2422"/>
            <w:shd w:val="clear" w:color="auto" w:fill="BDD7EE"/>
          </w:tcPr>
          <w:p>
            <w:pPr>
              <w:spacing w:before="20" w:after="20"/>
              <w:jc w:val="left"/>
            </w:pPr>
            <w:r>
              <w:rPr>
                <w:rFonts w:ascii="Calibri" w:hAnsi="Calibri"/>
                <w:b w:val="0"/>
                <w:i w:val="0"/>
                <w:sz w:val="18"/>
              </w:rPr>
              <w:t>Lower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FFFFFF"/>
          </w:tcPr>
          <w:p>
            <w:pPr>
              <w:spacing w:before="20" w:after="20"/>
              <w:jc w:val="left"/>
            </w:pPr>
            <w:r>
              <w:rPr>
                <w:rFonts w:ascii="Calibri" w:hAnsi="Calibri"/>
                <w:b w:val="0"/>
                <w:i w:val="0"/>
                <w:sz w:val="18"/>
              </w:rPr>
              <w:t>Hardcoded Secrets (avg)</w:t>
            </w:r>
          </w:p>
        </w:tc>
        <w:tc>
          <w:tcPr>
            <w:tcW w:type="dxa" w:w="2422"/>
            <w:shd w:val="clear" w:color="auto" w:fill="FFFFFF"/>
          </w:tcPr>
          <w:p>
            <w:pPr>
              <w:spacing w:before="20" w:after="20"/>
              <w:jc w:val="center"/>
            </w:pPr>
            <w:r>
              <w:rPr>
                <w:rFonts w:ascii="Calibri" w:hAnsi="Calibri"/>
                <w:b w:val="0"/>
                <w:i w:val="0"/>
                <w:sz w:val="18"/>
              </w:rPr>
              <w:t>0.0033</w:t>
            </w:r>
          </w:p>
        </w:tc>
        <w:tc>
          <w:tcPr>
            <w:tcW w:type="dxa" w:w="2422"/>
            <w:shd w:val="clear" w:color="auto" w:fill="FFFFFF"/>
          </w:tcPr>
          <w:p>
            <w:pPr>
              <w:spacing w:before="20" w:after="20"/>
              <w:jc w:val="left"/>
            </w:pPr>
            <w:r>
              <w:rPr>
                <w:rFonts w:ascii="Calibri" w:hAnsi="Calibri"/>
                <w:b w:val="0"/>
                <w:i w:val="0"/>
                <w:sz w:val="18"/>
              </w:rPr>
              <w:t>Lower is better</w:t>
            </w:r>
          </w:p>
        </w:tc>
        <w:tc>
          <w:tcPr>
            <w:tcW w:type="dxa" w:w="2422"/>
            <w:shd w:val="clear" w:color="auto" w:fill="FFFFFF"/>
          </w:tcPr>
          <w:p>
            <w:pPr>
              <w:spacing w:before="20" w:after="20"/>
              <w:jc w:val="center"/>
            </w:pPr>
            <w:r>
              <w:rPr>
                <w:rFonts w:ascii="Calibri" w:hAnsi="Calibri"/>
                <w:b/>
                <w:i w:val="0"/>
                <w:color w:val="404040"/>
                <w:sz w:val="18"/>
              </w:rPr>
              <w:t>~</w:t>
            </w:r>
          </w:p>
        </w:tc>
      </w:tr>
      <w:tr>
        <w:tc>
          <w:tcPr>
            <w:tcW w:type="dxa" w:w="2422"/>
            <w:shd w:val="clear" w:color="auto" w:fill="F2F2F2"/>
          </w:tcPr>
          <w:p>
            <w:pPr>
              <w:spacing w:before="20" w:after="20"/>
              <w:jc w:val="left"/>
            </w:pPr>
            <w:r>
              <w:rPr>
                <w:rFonts w:ascii="Calibri" w:hAnsi="Calibri"/>
                <w:b w:val="0"/>
                <w:i w:val="0"/>
                <w:sz w:val="18"/>
              </w:rPr>
              <w:t>Best-Practice Score %</w:t>
            </w:r>
          </w:p>
        </w:tc>
        <w:tc>
          <w:tcPr>
            <w:tcW w:type="dxa" w:w="2422"/>
            <w:shd w:val="clear" w:color="auto" w:fill="F2F2F2"/>
          </w:tcPr>
          <w:p>
            <w:pPr>
              <w:spacing w:before="20" w:after="20"/>
              <w:jc w:val="center"/>
            </w:pPr>
            <w:r>
              <w:rPr>
                <w:rFonts w:ascii="Calibri" w:hAnsi="Calibri"/>
                <w:b w:val="0"/>
                <w:i w:val="0"/>
                <w:sz w:val="18"/>
              </w:rPr>
              <w:t>45.12%</w:t>
            </w:r>
          </w:p>
        </w:tc>
        <w:tc>
          <w:tcPr>
            <w:tcW w:type="dxa" w:w="2422"/>
            <w:shd w:val="clear" w:color="auto" w:fill="F2F2F2"/>
          </w:tcPr>
          <w:p>
            <w:pPr>
              <w:spacing w:before="20" w:after="20"/>
              <w:jc w:val="left"/>
            </w:pPr>
            <w:r>
              <w:rPr>
                <w:rFonts w:ascii="Calibri" w:hAnsi="Calibri"/>
                <w:b w:val="0"/>
                <w:i w:val="0"/>
                <w:sz w:val="18"/>
              </w:rPr>
              <w:t>Higher is better</w:t>
            </w:r>
          </w:p>
        </w:tc>
        <w:tc>
          <w:tcPr>
            <w:tcW w:type="dxa" w:w="2422"/>
            <w:shd w:val="clear" w:color="auto" w:fill="F2F2F2"/>
          </w:tcPr>
          <w:p>
            <w:pPr>
              <w:spacing w:before="20" w:after="20"/>
              <w:jc w:val="center"/>
            </w:pPr>
            <w:r>
              <w:rPr>
                <w:rFonts w:ascii="Calibri" w:hAnsi="Calibri"/>
                <w:b/>
                <w:i w:val="0"/>
                <w:color w:val="404040"/>
                <w:sz w:val="18"/>
              </w:rPr>
              <w:t>~</w:t>
            </w:r>
          </w:p>
        </w:tc>
      </w:tr>
      <w:tr>
        <w:tc>
          <w:tcPr>
            <w:tcW w:type="dxa" w:w="2422"/>
            <w:shd w:val="clear" w:color="auto" w:fill="BDD7EE"/>
          </w:tcPr>
          <w:p>
            <w:pPr>
              <w:spacing w:before="20" w:after="20"/>
              <w:jc w:val="left"/>
            </w:pPr>
            <w:r>
              <w:rPr>
                <w:rFonts w:ascii="Calibri" w:hAnsi="Calibri"/>
                <w:b w:val="0"/>
                <w:i w:val="0"/>
                <w:sz w:val="18"/>
              </w:rPr>
              <w:t>Code Similarity %</w:t>
            </w:r>
          </w:p>
        </w:tc>
        <w:tc>
          <w:tcPr>
            <w:tcW w:type="dxa" w:w="2422"/>
            <w:shd w:val="clear" w:color="auto" w:fill="BDD7EE"/>
          </w:tcPr>
          <w:p>
            <w:pPr>
              <w:spacing w:before="20" w:after="20"/>
              <w:jc w:val="center"/>
            </w:pPr>
            <w:r>
              <w:rPr>
                <w:rFonts w:ascii="Calibri" w:hAnsi="Calibri"/>
                <w:b w:val="0"/>
                <w:i w:val="0"/>
                <w:sz w:val="18"/>
              </w:rPr>
              <w:t>11.93%</w:t>
            </w:r>
          </w:p>
        </w:tc>
        <w:tc>
          <w:tcPr>
            <w:tcW w:type="dxa" w:w="2422"/>
            <w:shd w:val="clear" w:color="auto" w:fill="BDD7EE"/>
          </w:tcPr>
          <w:p>
            <w:pPr>
              <w:spacing w:before="20" w:after="20"/>
              <w:jc w:val="left"/>
            </w:pPr>
            <w:r>
              <w:rPr>
                <w:rFonts w:ascii="Calibri" w:hAnsi="Calibri"/>
                <w:b w:val="0"/>
                <w:i w:val="0"/>
                <w:sz w:val="18"/>
              </w:rPr>
              <w:t>Higher is better (informational)</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F2F2F2"/>
          </w:tcPr>
          <w:p>
            <w:pPr>
              <w:spacing w:before="20" w:after="20"/>
              <w:jc w:val="left"/>
            </w:pPr>
            <w:r>
              <w:rPr>
                <w:rFonts w:ascii="Calibri" w:hAnsi="Calibri"/>
                <w:b w:val="0"/>
                <w:i w:val="0"/>
                <w:sz w:val="18"/>
              </w:rPr>
              <w:t>Composite Score /100</w:t>
            </w:r>
          </w:p>
        </w:tc>
        <w:tc>
          <w:tcPr>
            <w:tcW w:type="dxa" w:w="2422"/>
            <w:shd w:val="clear" w:color="auto" w:fill="F2F2F2"/>
          </w:tcPr>
          <w:p>
            <w:pPr>
              <w:spacing w:before="20" w:after="20"/>
              <w:jc w:val="center"/>
            </w:pPr>
            <w:r>
              <w:rPr>
                <w:rFonts w:ascii="Calibri" w:hAnsi="Calibri"/>
                <w:b w:val="0"/>
                <w:i w:val="0"/>
                <w:sz w:val="18"/>
              </w:rPr>
              <w:t>92.55</w:t>
            </w:r>
          </w:p>
        </w:tc>
        <w:tc>
          <w:tcPr>
            <w:tcW w:type="dxa" w:w="2422"/>
            <w:shd w:val="clear" w:color="auto" w:fill="F2F2F2"/>
          </w:tcPr>
          <w:p>
            <w:pPr>
              <w:spacing w:before="20" w:after="20"/>
              <w:jc w:val="left"/>
            </w:pPr>
            <w:r>
              <w:rPr>
                <w:rFonts w:ascii="Calibri" w:hAnsi="Calibri"/>
                <w:b w:val="0"/>
                <w:i w:val="0"/>
                <w:sz w:val="18"/>
              </w:rPr>
              <w:t>Higher is better</w:t>
            </w:r>
          </w:p>
        </w:tc>
        <w:tc>
          <w:tcPr>
            <w:tcW w:type="dxa" w:w="2422"/>
            <w:shd w:val="clear" w:color="auto" w:fill="F2F2F2"/>
          </w:tcPr>
          <w:p>
            <w:pPr>
              <w:spacing w:before="20" w:after="20"/>
              <w:jc w:val="center"/>
            </w:pPr>
            <w:r>
              <w:rPr>
                <w:rFonts w:ascii="Calibri" w:hAnsi="Calibri"/>
                <w:b/>
                <w:i w:val="0"/>
                <w:color w:val="404040"/>
                <w:sz w:val="18"/>
              </w:rPr>
              <w:t>~</w:t>
            </w:r>
          </w:p>
        </w:tc>
      </w:tr>
      <w:tr>
        <w:tc>
          <w:tcPr>
            <w:tcW w:type="dxa" w:w="2422"/>
            <w:shd w:val="clear" w:color="auto" w:fill="FFFFFF"/>
          </w:tcPr>
          <w:p>
            <w:pPr>
              <w:spacing w:before="20" w:after="20"/>
              <w:jc w:val="left"/>
            </w:pPr>
            <w:r>
              <w:rPr>
                <w:rFonts w:ascii="Calibri" w:hAnsi="Calibri"/>
                <w:b w:val="0"/>
                <w:i w:val="0"/>
                <w:sz w:val="18"/>
              </w:rPr>
              <w:t>Final Rank</w:t>
            </w:r>
          </w:p>
        </w:tc>
        <w:tc>
          <w:tcPr>
            <w:tcW w:type="dxa" w:w="2422"/>
            <w:shd w:val="clear" w:color="auto" w:fill="FFFFFF"/>
          </w:tcPr>
          <w:p>
            <w:pPr>
              <w:spacing w:before="20" w:after="20"/>
              <w:jc w:val="center"/>
            </w:pPr>
            <w:r>
              <w:rPr>
                <w:rFonts w:ascii="Calibri" w:hAnsi="Calibri"/>
                <w:b w:val="0"/>
                <w:i w:val="0"/>
                <w:sz w:val="18"/>
              </w:rPr>
              <w:t>4 / 9</w:t>
            </w:r>
          </w:p>
        </w:tc>
        <w:tc>
          <w:tcPr>
            <w:tcW w:type="dxa" w:w="2422"/>
            <w:shd w:val="clear" w:color="auto" w:fill="FFFFFF"/>
          </w:tcPr>
          <w:p>
            <w:pPr>
              <w:spacing w:before="20" w:after="20"/>
              <w:jc w:val="left"/>
            </w:pPr>
            <w:r>
              <w:rPr>
                <w:rFonts w:ascii="Calibri" w:hAnsi="Calibri"/>
                <w:b w:val="0"/>
                <w:i w:val="0"/>
                <w:sz w:val="18"/>
              </w:rPr>
              <w:t>Lower is better</w:t>
            </w:r>
          </w:p>
        </w:tc>
        <w:tc>
          <w:tcPr>
            <w:tcW w:type="dxa" w:w="2422"/>
            <w:shd w:val="clear" w:color="auto" w:fill="FFFFFF"/>
          </w:tcPr>
          <w:p>
            <w:pPr>
              <w:spacing w:before="20" w:after="20"/>
              <w:jc w:val="center"/>
            </w:pPr>
            <w:r>
              <w:rPr>
                <w:rFonts w:ascii="Calibri" w:hAnsi="Calibri"/>
                <w:b/>
                <w:i w:val="0"/>
                <w:color w:val="404040"/>
                <w:sz w:val="18"/>
              </w:rPr>
              <w:t>~</w:t>
            </w:r>
          </w:p>
        </w:tc>
      </w:tr>
    </w:tbl>
    <w:p>
      <w:r>
        <w:br w:type="page"/>
      </w:r>
    </w:p>
    <w:p>
      <w:pPr>
        <w:pStyle w:val="Heading2"/>
      </w:pPr>
      <w:r>
        <w:rPr>
          <w:color w:val="1F3564"/>
        </w:rPr>
        <w:t>E07 – Dependency-Aware RAG</w:t>
      </w:r>
    </w:p>
    <w:p>
      <w:pPr>
        <w:spacing w:before="120" w:after="40"/>
      </w:pPr>
      <w:r>
        <w:rPr>
          <w:rFonts w:ascii="Calibri" w:hAnsi="Calibri"/>
          <w:b/>
          <w:color w:val="2E74B5"/>
          <w:sz w:val="21"/>
        </w:rPr>
        <w:t>Goal</w:t>
      </w:r>
    </w:p>
    <w:p>
      <w:pPr>
        <w:spacing w:before="40" w:after="40"/>
      </w:pPr>
      <w:r>
        <w:rPr>
          <w:rFonts w:ascii="Calibri" w:hAnsi="Calibri"/>
          <w:b w:val="0"/>
          <w:i w:val="0"/>
          <w:sz w:val="21"/>
        </w:rPr>
        <w:t>This experiment evaluates whether dependency-aware retrieval improves the logical completeness of generated Terraform code. The retrieval process is modified to prioritise TerraDS modules that contain both the main requested resource and its required supporting resources, such as subnets, security groups, and network interfaces.</w:t>
      </w:r>
    </w:p>
    <w:p>
      <w:pPr>
        <w:spacing w:before="40" w:after="40"/>
      </w:pPr>
      <w:r>
        <w:rPr>
          <w:rFonts w:ascii="Calibri" w:hAnsi="Calibri"/>
          <w:b/>
          <w:i w:val="0"/>
          <w:sz w:val="20"/>
        </w:rPr>
        <w:t>Primary Evaluation Focus: Dependency Correctness, Resource Coverage</w:t>
      </w:r>
    </w:p>
    <w:p>
      <w:pPr>
        <w:spacing w:before="120" w:after="40"/>
      </w:pPr>
      <w:r>
        <w:rPr>
          <w:rFonts w:ascii="Calibri" w:hAnsi="Calibri"/>
          <w:b/>
          <w:color w:val="2E74B5"/>
          <w:sz w:val="21"/>
        </w:rPr>
        <w:t>Implementation Steps</w:t>
      </w:r>
    </w:p>
    <w:p>
      <w:pPr>
        <w:pStyle w:val="ListBullet"/>
        <w:spacing w:before="20" w:after="20"/>
      </w:pPr>
      <w:r>
        <w:rPr>
          <w:rFonts w:ascii="Calibri" w:hAnsi="Calibri"/>
          <w:sz w:val="20"/>
        </w:rPr>
        <w:t>Terraform resource dependencies were defined per provider: AWS EC2 requires subnet and security group; Azure VM requires resource group, subnet, and network interface; GCP compute requires network, subnetwork, and firewall.</w:t>
      </w:r>
    </w:p>
    <w:p>
      <w:pPr>
        <w:pStyle w:val="ListBullet"/>
        <w:spacing w:before="20" w:after="20"/>
      </w:pPr>
      <w:r>
        <w:rPr>
          <w:rFonts w:ascii="Calibri" w:hAnsi="Calibri"/>
          <w:sz w:val="20"/>
        </w:rPr>
        <w:t>For each test prompt, the target resource type and its required dependencies were extracted.</w:t>
      </w:r>
    </w:p>
    <w:p>
      <w:pPr>
        <w:pStyle w:val="ListBullet"/>
        <w:spacing w:before="20" w:after="20"/>
      </w:pPr>
      <w:r>
        <w:rPr>
          <w:rFonts w:ascii="Calibri" w:hAnsi="Calibri"/>
          <w:sz w:val="20"/>
        </w:rPr>
        <w:t>ChromaDB retrieval was modified to prioritise modules that contain both the main resource and its dependencies.</w:t>
      </w:r>
    </w:p>
    <w:p>
      <w:pPr>
        <w:pStyle w:val="ListBullet"/>
        <w:spacing w:before="20" w:after="20"/>
      </w:pPr>
      <w:r>
        <w:rPr>
          <w:rFonts w:ascii="Calibri" w:hAnsi="Calibri"/>
          <w:sz w:val="20"/>
        </w:rPr>
        <w:t>Dependency-enriched modules were appended to the prompt before the generation instruction.</w:t>
      </w:r>
    </w:p>
    <w:p>
      <w:pPr>
        <w:pStyle w:val="ListBullet"/>
        <w:spacing w:before="20" w:after="20"/>
      </w:pPr>
      <w:r>
        <w:rPr>
          <w:rFonts w:ascii="Calibri" w:hAnsi="Calibri"/>
          <w:sz w:val="20"/>
        </w:rPr>
        <w:t>All ten offline evaluation metrics were computed and stored in E07_DependencyRAG_results.json.</w:t>
      </w:r>
    </w:p>
    <w:p>
      <w:pPr>
        <w:spacing w:before="120" w:after="40"/>
      </w:pPr>
      <w:r>
        <w:rPr>
          <w:rFonts w:ascii="Calibri" w:hAnsi="Calibri"/>
          <w:b/>
          <w:color w:val="2E74B5"/>
          <w:sz w:val="21"/>
        </w:rPr>
        <w:t>Results Discussion</w:t>
      </w:r>
    </w:p>
    <w:p>
      <w:pPr>
        <w:pStyle w:val="ListBullet"/>
        <w:spacing w:before="20" w:after="20"/>
      </w:pPr>
      <w:r>
        <w:rPr>
          <w:rFonts w:ascii="Calibri" w:hAnsi="Calibri"/>
          <w:b/>
          <w:sz w:val="20"/>
        </w:rPr>
        <w:t xml:space="preserve">HCL Syntax Validity (99.67%): </w:t>
      </w:r>
      <w:r>
        <w:rPr>
          <w:rFonts w:ascii="Calibri" w:hAnsi="Calibri"/>
          <w:sz w:val="20"/>
        </w:rPr>
        <w:t>Near-perfect syntax validity, consistent with other RAG experiments.</w:t>
      </w:r>
    </w:p>
    <w:p>
      <w:pPr>
        <w:pStyle w:val="ListBullet"/>
        <w:spacing w:before="20" w:after="20"/>
      </w:pPr>
      <w:r>
        <w:rPr>
          <w:rFonts w:ascii="Calibri" w:hAnsi="Calibri"/>
          <w:b/>
          <w:sz w:val="20"/>
        </w:rPr>
        <w:t xml:space="preserve">Terraform Format Pass (100%): </w:t>
      </w:r>
      <w:r>
        <w:rPr>
          <w:rFonts w:ascii="Calibri" w:hAnsi="Calibri"/>
          <w:sz w:val="20"/>
        </w:rPr>
        <w:t>Perfect formatting maintained.</w:t>
      </w:r>
    </w:p>
    <w:p>
      <w:pPr>
        <w:pStyle w:val="ListBullet"/>
        <w:spacing w:before="20" w:after="20"/>
      </w:pPr>
      <w:r>
        <w:rPr>
          <w:rFonts w:ascii="Calibri" w:hAnsi="Calibri"/>
          <w:b/>
          <w:sz w:val="20"/>
        </w:rPr>
        <w:t xml:space="preserve">Terraform Validation Pass (99.67%): </w:t>
      </w:r>
      <w:r>
        <w:rPr>
          <w:rFonts w:ascii="Calibri" w:hAnsi="Calibri"/>
          <w:sz w:val="20"/>
        </w:rPr>
        <w:t>Strong validation pass rate — dependency-aware modules are more complete, reducing missing-argument errors.</w:t>
      </w:r>
    </w:p>
    <w:p>
      <w:pPr>
        <w:pStyle w:val="ListBullet"/>
        <w:spacing w:before="20" w:after="20"/>
      </w:pPr>
      <w:r>
        <w:rPr>
          <w:rFonts w:ascii="Calibri" w:hAnsi="Calibri"/>
          <w:b/>
          <w:sz w:val="20"/>
        </w:rPr>
        <w:t xml:space="preserve">Provider Correctness (100%): </w:t>
      </w:r>
      <w:r>
        <w:rPr>
          <w:rFonts w:ascii="Calibri" w:hAnsi="Calibri"/>
          <w:sz w:val="20"/>
        </w:rPr>
        <w:t>Perfect provider correctness from dependency-filtered retrieval.</w:t>
      </w:r>
    </w:p>
    <w:p>
      <w:pPr>
        <w:pStyle w:val="ListBullet"/>
        <w:spacing w:before="20" w:after="20"/>
      </w:pPr>
      <w:r>
        <w:rPr>
          <w:rFonts w:ascii="Calibri" w:hAnsi="Calibri"/>
          <w:b/>
          <w:sz w:val="20"/>
        </w:rPr>
        <w:t xml:space="preserve">Resource Coverage (91.33%): </w:t>
      </w:r>
      <w:r>
        <w:rPr>
          <w:rFonts w:ascii="Calibri" w:hAnsi="Calibri"/>
          <w:sz w:val="20"/>
        </w:rPr>
        <w:t>Highest resource coverage among all RAG experiments (E04–E07). Dependency-aware retrieval ensures supporting resources are present in context.</w:t>
      </w:r>
    </w:p>
    <w:p>
      <w:pPr>
        <w:pStyle w:val="ListBullet"/>
        <w:spacing w:before="20" w:after="20"/>
      </w:pPr>
      <w:r>
        <w:rPr>
          <w:rFonts w:ascii="Calibri" w:hAnsi="Calibri"/>
          <w:b/>
          <w:sz w:val="20"/>
        </w:rPr>
        <w:t xml:space="preserve">Dependency Score (98.22%): </w:t>
      </w:r>
      <w:r>
        <w:rPr>
          <w:rFonts w:ascii="Calibri" w:hAnsi="Calibri"/>
          <w:sz w:val="20"/>
        </w:rPr>
        <w:t>Second-highest dependency score across all nine experiments, behind only E09 (repaired). This confirms that dependency-aware retrieval effectively improves resource connectivity.</w:t>
      </w:r>
    </w:p>
    <w:p>
      <w:pPr>
        <w:pStyle w:val="ListBullet"/>
        <w:spacing w:before="20" w:after="20"/>
      </w:pPr>
      <w:r>
        <w:rPr>
          <w:rFonts w:ascii="Calibri" w:hAnsi="Calibri"/>
          <w:b/>
          <w:sz w:val="20"/>
        </w:rPr>
        <w:t xml:space="preserve">Security Issues (0.2433 per sample): </w:t>
      </w:r>
      <w:r>
        <w:rPr>
          <w:rFonts w:ascii="Calibri" w:hAnsi="Calibri"/>
          <w:sz w:val="20"/>
        </w:rPr>
        <w:t>Highest security issue count in RAG experiments — dependency-complete modules may contain insecure configurations for realistic infrastructure.</w:t>
      </w:r>
    </w:p>
    <w:p>
      <w:pPr>
        <w:pStyle w:val="ListBullet"/>
        <w:spacing w:before="20" w:after="20"/>
      </w:pPr>
      <w:r>
        <w:rPr>
          <w:rFonts w:ascii="Calibri" w:hAnsi="Calibri"/>
          <w:b/>
          <w:sz w:val="20"/>
        </w:rPr>
        <w:t xml:space="preserve">Hardcoded Secrets (0.0167): </w:t>
      </w:r>
      <w:r>
        <w:rPr>
          <w:rFonts w:ascii="Calibri" w:hAnsi="Calibri"/>
          <w:sz w:val="20"/>
        </w:rPr>
        <w:t>Higher hardcoded secret count than other RAG experiments — dependency-rich modules may contain credential placeholders.</w:t>
      </w:r>
    </w:p>
    <w:p>
      <w:pPr>
        <w:pStyle w:val="ListBullet"/>
        <w:spacing w:before="20" w:after="20"/>
      </w:pPr>
      <w:r>
        <w:rPr>
          <w:rFonts w:ascii="Calibri" w:hAnsi="Calibri"/>
          <w:b/>
          <w:sz w:val="20"/>
        </w:rPr>
        <w:t xml:space="preserve">Best-Practice Score (43.17%): </w:t>
      </w:r>
      <w:r>
        <w:rPr>
          <w:rFonts w:ascii="Calibri" w:hAnsi="Calibri"/>
          <w:sz w:val="20"/>
        </w:rPr>
        <w:t>Lower than other RAG experiments — dependency-focused retrieval may deprioritise modules with strong best-practice structure.</w:t>
      </w:r>
    </w:p>
    <w:p>
      <w:pPr>
        <w:pStyle w:val="ListBullet"/>
        <w:spacing w:before="20" w:after="20"/>
      </w:pPr>
      <w:r>
        <w:rPr>
          <w:rFonts w:ascii="Calibri" w:hAnsi="Calibri"/>
          <w:b/>
          <w:sz w:val="20"/>
        </w:rPr>
        <w:t xml:space="preserve">Final Weighted Score (92.48 / Rank 6): </w:t>
      </w:r>
      <w:r>
        <w:rPr>
          <w:rFonts w:ascii="Calibri" w:hAnsi="Calibri"/>
          <w:sz w:val="20"/>
        </w:rPr>
        <w:t>Good overall result. Dependency-aware RAG excels in its primary target metrics but trades off security quality.</w:t>
      </w:r>
    </w:p>
    <w:p>
      <w:pPr>
        <w:spacing w:before="120" w:after="40"/>
      </w:pPr>
      <w:r>
        <w:rPr>
          <w:rFonts w:ascii="Calibri" w:hAnsi="Calibri"/>
          <w:b/>
          <w:color w:val="2E74B5"/>
          <w:sz w:val="21"/>
        </w:rPr>
        <w:t>Advantages</w:t>
      </w:r>
    </w:p>
    <w:p>
      <w:pPr>
        <w:pStyle w:val="ListBullet"/>
        <w:spacing w:before="20" w:after="20"/>
      </w:pPr>
      <w:r>
        <w:rPr>
          <w:rFonts w:ascii="Calibri" w:hAnsi="Calibri"/>
          <w:sz w:val="20"/>
        </w:rPr>
        <w:t>Highest resource coverage among all RAG variants — dependency-aware context promotes complete infrastructure generation.</w:t>
      </w:r>
    </w:p>
    <w:p>
      <w:pPr>
        <w:pStyle w:val="ListBullet"/>
        <w:spacing w:before="20" w:after="20"/>
      </w:pPr>
      <w:r>
        <w:rPr>
          <w:rFonts w:ascii="Calibri" w:hAnsi="Calibri"/>
          <w:sz w:val="20"/>
        </w:rPr>
        <w:t>Second-strongest dependency correctness across all nine experiments, demonstrating clear improvement from targeted retrieval.</w:t>
      </w:r>
    </w:p>
    <w:p>
      <w:pPr>
        <w:pStyle w:val="ListBullet"/>
        <w:spacing w:before="20" w:after="20"/>
      </w:pPr>
      <w:r>
        <w:rPr>
          <w:rFonts w:ascii="Calibri" w:hAnsi="Calibri"/>
          <w:sz w:val="20"/>
        </w:rPr>
        <w:t>Perfect format pass rate and strong validation pass rate.</w:t>
      </w:r>
    </w:p>
    <w:p>
      <w:pPr>
        <w:spacing w:before="120" w:after="40"/>
      </w:pPr>
      <w:r>
        <w:rPr>
          <w:rFonts w:ascii="Calibri" w:hAnsi="Calibri"/>
          <w:b/>
          <w:color w:val="2E74B5"/>
          <w:sz w:val="21"/>
        </w:rPr>
        <w:t>Disadvantages</w:t>
      </w:r>
    </w:p>
    <w:p>
      <w:pPr>
        <w:pStyle w:val="ListBullet"/>
        <w:spacing w:before="20" w:after="20"/>
      </w:pPr>
      <w:r>
        <w:rPr>
          <w:rFonts w:ascii="Calibri" w:hAnsi="Calibri"/>
          <w:sz w:val="20"/>
        </w:rPr>
        <w:t>Highest security issue count among RAG experiments — dependency-complete TerraDS modules may contain unsafe configurations.</w:t>
      </w:r>
    </w:p>
    <w:p>
      <w:pPr>
        <w:pStyle w:val="ListBullet"/>
        <w:spacing w:before="20" w:after="20"/>
      </w:pPr>
      <w:r>
        <w:rPr>
          <w:rFonts w:ascii="Calibri" w:hAnsi="Calibri"/>
          <w:sz w:val="20"/>
        </w:rPr>
        <w:t>Higher hardcoded secret count than other RAG experiments.</w:t>
      </w:r>
    </w:p>
    <w:p>
      <w:pPr>
        <w:pStyle w:val="ListBullet"/>
        <w:spacing w:before="20" w:after="20"/>
      </w:pPr>
      <w:r>
        <w:rPr>
          <w:rFonts w:ascii="Calibri" w:hAnsi="Calibri"/>
          <w:sz w:val="20"/>
        </w:rPr>
        <w:t>Best-practice score is lower than Few-Shot or Hybrid RAG, suggesting trade-off between completeness and code quality.</w:t>
      </w:r>
    </w:p>
    <w:p>
      <w:pPr>
        <w:spacing w:before="120" w:after="40"/>
      </w:pPr>
      <w:r>
        <w:rPr>
          <w:rFonts w:ascii="Calibri" w:hAnsi="Calibri"/>
          <w:b/>
          <w:color w:val="2E74B5"/>
          <w:sz w:val="21"/>
        </w:rPr>
        <w:t>Main Results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F3564"/>
          </w:tcPr>
          <w:p>
            <w:pPr>
              <w:spacing w:before="20" w:after="20"/>
              <w:jc w:val="center"/>
            </w:pPr>
            <w:r>
              <w:rPr>
                <w:rFonts w:ascii="Calibri" w:hAnsi="Calibri"/>
                <w:b/>
                <w:i w:val="0"/>
                <w:color w:val="FFFFFF"/>
                <w:sz w:val="18"/>
              </w:rPr>
              <w:t>Metric</w:t>
            </w:r>
          </w:p>
        </w:tc>
        <w:tc>
          <w:tcPr>
            <w:tcW w:type="dxa" w:w="2422"/>
            <w:shd w:val="clear" w:color="auto" w:fill="1F3564"/>
          </w:tcPr>
          <w:p>
            <w:pPr>
              <w:spacing w:before="20" w:after="20"/>
              <w:jc w:val="center"/>
            </w:pPr>
            <w:r>
              <w:rPr>
                <w:rFonts w:ascii="Calibri" w:hAnsi="Calibri"/>
                <w:b/>
                <w:i w:val="0"/>
                <w:color w:val="FFFFFF"/>
                <w:sz w:val="18"/>
              </w:rPr>
              <w:t>Value</w:t>
            </w:r>
          </w:p>
        </w:tc>
        <w:tc>
          <w:tcPr>
            <w:tcW w:type="dxa" w:w="2422"/>
            <w:shd w:val="clear" w:color="auto" w:fill="1F3564"/>
          </w:tcPr>
          <w:p>
            <w:pPr>
              <w:spacing w:before="20" w:after="20"/>
              <w:jc w:val="center"/>
            </w:pPr>
            <w:r>
              <w:rPr>
                <w:rFonts w:ascii="Calibri" w:hAnsi="Calibri"/>
                <w:b/>
                <w:i w:val="0"/>
                <w:color w:val="FFFFFF"/>
                <w:sz w:val="18"/>
              </w:rPr>
              <w:t>Direction</w:t>
            </w:r>
          </w:p>
        </w:tc>
        <w:tc>
          <w:tcPr>
            <w:tcW w:type="dxa" w:w="2422"/>
            <w:shd w:val="clear" w:color="auto" w:fill="1F3564"/>
          </w:tcPr>
          <w:p>
            <w:pPr>
              <w:spacing w:before="20" w:after="20"/>
              <w:jc w:val="center"/>
            </w:pPr>
            <w:r>
              <w:rPr>
                <w:rFonts w:ascii="Calibri" w:hAnsi="Calibri"/>
                <w:b/>
                <w:i w:val="0"/>
                <w:color w:val="FFFFFF"/>
                <w:sz w:val="18"/>
              </w:rPr>
              <w:t>Status</w:t>
            </w:r>
          </w:p>
        </w:tc>
      </w:tr>
      <w:tr>
        <w:tc>
          <w:tcPr>
            <w:tcW w:type="dxa" w:w="2422"/>
            <w:shd w:val="clear" w:color="auto" w:fill="BDD7EE"/>
          </w:tcPr>
          <w:p>
            <w:pPr>
              <w:spacing w:before="20" w:after="20"/>
              <w:jc w:val="left"/>
            </w:pPr>
            <w:r>
              <w:rPr>
                <w:rFonts w:ascii="Calibri" w:hAnsi="Calibri"/>
                <w:b w:val="0"/>
                <w:i w:val="0"/>
                <w:sz w:val="18"/>
              </w:rPr>
              <w:t>HCL Syntax Validity %</w:t>
            </w:r>
          </w:p>
        </w:tc>
        <w:tc>
          <w:tcPr>
            <w:tcW w:type="dxa" w:w="2422"/>
            <w:shd w:val="clear" w:color="auto" w:fill="BDD7EE"/>
          </w:tcPr>
          <w:p>
            <w:pPr>
              <w:spacing w:before="20" w:after="20"/>
              <w:jc w:val="center"/>
            </w:pPr>
            <w:r>
              <w:rPr>
                <w:rFonts w:ascii="Calibri" w:hAnsi="Calibri"/>
                <w:b w:val="0"/>
                <w:i w:val="0"/>
                <w:sz w:val="18"/>
              </w:rPr>
              <w:t>99.67%</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Terraform Format Pass %</w:t>
            </w:r>
          </w:p>
        </w:tc>
        <w:tc>
          <w:tcPr>
            <w:tcW w:type="dxa" w:w="2422"/>
            <w:shd w:val="clear" w:color="auto" w:fill="BDD7EE"/>
          </w:tcPr>
          <w:p>
            <w:pPr>
              <w:spacing w:before="20" w:after="20"/>
              <w:jc w:val="center"/>
            </w:pPr>
            <w:r>
              <w:rPr>
                <w:rFonts w:ascii="Calibri" w:hAnsi="Calibri"/>
                <w:b w:val="0"/>
                <w:i w:val="0"/>
                <w:sz w:val="18"/>
              </w:rPr>
              <w:t>100.00%</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Terraform Validation Pass %</w:t>
            </w:r>
          </w:p>
        </w:tc>
        <w:tc>
          <w:tcPr>
            <w:tcW w:type="dxa" w:w="2422"/>
            <w:shd w:val="clear" w:color="auto" w:fill="BDD7EE"/>
          </w:tcPr>
          <w:p>
            <w:pPr>
              <w:spacing w:before="20" w:after="20"/>
              <w:jc w:val="center"/>
            </w:pPr>
            <w:r>
              <w:rPr>
                <w:rFonts w:ascii="Calibri" w:hAnsi="Calibri"/>
                <w:b w:val="0"/>
                <w:i w:val="0"/>
                <w:sz w:val="18"/>
              </w:rPr>
              <w:t>99.67%</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Provider Correctness %</w:t>
            </w:r>
          </w:p>
        </w:tc>
        <w:tc>
          <w:tcPr>
            <w:tcW w:type="dxa" w:w="2422"/>
            <w:shd w:val="clear" w:color="auto" w:fill="BDD7EE"/>
          </w:tcPr>
          <w:p>
            <w:pPr>
              <w:spacing w:before="20" w:after="20"/>
              <w:jc w:val="center"/>
            </w:pPr>
            <w:r>
              <w:rPr>
                <w:rFonts w:ascii="Calibri" w:hAnsi="Calibri"/>
                <w:b w:val="0"/>
                <w:i w:val="0"/>
                <w:sz w:val="18"/>
              </w:rPr>
              <w:t>100.00%</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Resource Coverage %</w:t>
            </w:r>
          </w:p>
        </w:tc>
        <w:tc>
          <w:tcPr>
            <w:tcW w:type="dxa" w:w="2422"/>
            <w:shd w:val="clear" w:color="auto" w:fill="BDD7EE"/>
          </w:tcPr>
          <w:p>
            <w:pPr>
              <w:spacing w:before="20" w:after="20"/>
              <w:jc w:val="center"/>
            </w:pPr>
            <w:r>
              <w:rPr>
                <w:rFonts w:ascii="Calibri" w:hAnsi="Calibri"/>
                <w:b w:val="0"/>
                <w:i w:val="0"/>
                <w:sz w:val="18"/>
              </w:rPr>
              <w:t>91.33%</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Dependency Score %</w:t>
            </w:r>
          </w:p>
        </w:tc>
        <w:tc>
          <w:tcPr>
            <w:tcW w:type="dxa" w:w="2422"/>
            <w:shd w:val="clear" w:color="auto" w:fill="BDD7EE"/>
          </w:tcPr>
          <w:p>
            <w:pPr>
              <w:spacing w:before="20" w:after="20"/>
              <w:jc w:val="center"/>
            </w:pPr>
            <w:r>
              <w:rPr>
                <w:rFonts w:ascii="Calibri" w:hAnsi="Calibri"/>
                <w:b w:val="0"/>
                <w:i w:val="0"/>
                <w:sz w:val="18"/>
              </w:rPr>
              <w:t>98.22%</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FFCCCC"/>
          </w:tcPr>
          <w:p>
            <w:pPr>
              <w:spacing w:before="20" w:after="20"/>
              <w:jc w:val="left"/>
            </w:pPr>
            <w:r>
              <w:rPr>
                <w:rFonts w:ascii="Calibri" w:hAnsi="Calibri"/>
                <w:b w:val="0"/>
                <w:i w:val="0"/>
                <w:sz w:val="18"/>
              </w:rPr>
              <w:t>Security Issues (avg)</w:t>
            </w:r>
          </w:p>
        </w:tc>
        <w:tc>
          <w:tcPr>
            <w:tcW w:type="dxa" w:w="2422"/>
            <w:shd w:val="clear" w:color="auto" w:fill="FFCCCC"/>
          </w:tcPr>
          <w:p>
            <w:pPr>
              <w:spacing w:before="20" w:after="20"/>
              <w:jc w:val="center"/>
            </w:pPr>
            <w:r>
              <w:rPr>
                <w:rFonts w:ascii="Calibri" w:hAnsi="Calibri"/>
                <w:b w:val="0"/>
                <w:i w:val="0"/>
                <w:sz w:val="18"/>
              </w:rPr>
              <w:t>0.2433</w:t>
            </w:r>
          </w:p>
        </w:tc>
        <w:tc>
          <w:tcPr>
            <w:tcW w:type="dxa" w:w="2422"/>
            <w:shd w:val="clear" w:color="auto" w:fill="FFCCCC"/>
          </w:tcPr>
          <w:p>
            <w:pPr>
              <w:spacing w:before="20" w:after="20"/>
              <w:jc w:val="left"/>
            </w:pPr>
            <w:r>
              <w:rPr>
                <w:rFonts w:ascii="Calibri" w:hAnsi="Calibri"/>
                <w:b w:val="0"/>
                <w:i w:val="0"/>
                <w:sz w:val="18"/>
              </w:rPr>
              <w:t>Lower is better</w:t>
            </w:r>
          </w:p>
        </w:tc>
        <w:tc>
          <w:tcPr>
            <w:tcW w:type="dxa" w:w="2422"/>
            <w:shd w:val="clear" w:color="auto" w:fill="FFCCCC"/>
          </w:tcPr>
          <w:p>
            <w:pPr>
              <w:spacing w:before="20" w:after="20"/>
              <w:jc w:val="center"/>
            </w:pPr>
            <w:r>
              <w:rPr>
                <w:rFonts w:ascii="Calibri" w:hAnsi="Calibri"/>
                <w:b/>
                <w:i w:val="0"/>
                <w:color w:val="FF0000"/>
                <w:sz w:val="18"/>
              </w:rPr>
              <w:t>!</w:t>
            </w:r>
          </w:p>
        </w:tc>
      </w:tr>
      <w:tr>
        <w:tc>
          <w:tcPr>
            <w:tcW w:type="dxa" w:w="2422"/>
            <w:shd w:val="clear" w:color="auto" w:fill="FFFFFF"/>
          </w:tcPr>
          <w:p>
            <w:pPr>
              <w:spacing w:before="20" w:after="20"/>
              <w:jc w:val="left"/>
            </w:pPr>
            <w:r>
              <w:rPr>
                <w:rFonts w:ascii="Calibri" w:hAnsi="Calibri"/>
                <w:b w:val="0"/>
                <w:i w:val="0"/>
                <w:sz w:val="18"/>
              </w:rPr>
              <w:t>Hardcoded Secrets (avg)</w:t>
            </w:r>
          </w:p>
        </w:tc>
        <w:tc>
          <w:tcPr>
            <w:tcW w:type="dxa" w:w="2422"/>
            <w:shd w:val="clear" w:color="auto" w:fill="FFFFFF"/>
          </w:tcPr>
          <w:p>
            <w:pPr>
              <w:spacing w:before="20" w:after="20"/>
              <w:jc w:val="center"/>
            </w:pPr>
            <w:r>
              <w:rPr>
                <w:rFonts w:ascii="Calibri" w:hAnsi="Calibri"/>
                <w:b w:val="0"/>
                <w:i w:val="0"/>
                <w:sz w:val="18"/>
              </w:rPr>
              <w:t>0.0167</w:t>
            </w:r>
          </w:p>
        </w:tc>
        <w:tc>
          <w:tcPr>
            <w:tcW w:type="dxa" w:w="2422"/>
            <w:shd w:val="clear" w:color="auto" w:fill="FFFFFF"/>
          </w:tcPr>
          <w:p>
            <w:pPr>
              <w:spacing w:before="20" w:after="20"/>
              <w:jc w:val="left"/>
            </w:pPr>
            <w:r>
              <w:rPr>
                <w:rFonts w:ascii="Calibri" w:hAnsi="Calibri"/>
                <w:b w:val="0"/>
                <w:i w:val="0"/>
                <w:sz w:val="18"/>
              </w:rPr>
              <w:t>Lower is better</w:t>
            </w:r>
          </w:p>
        </w:tc>
        <w:tc>
          <w:tcPr>
            <w:tcW w:type="dxa" w:w="2422"/>
            <w:shd w:val="clear" w:color="auto" w:fill="FFFFFF"/>
          </w:tcPr>
          <w:p>
            <w:pPr>
              <w:spacing w:before="20" w:after="20"/>
              <w:jc w:val="center"/>
            </w:pPr>
            <w:r>
              <w:rPr>
                <w:rFonts w:ascii="Calibri" w:hAnsi="Calibri"/>
                <w:b/>
                <w:i w:val="0"/>
                <w:color w:val="404040"/>
                <w:sz w:val="18"/>
              </w:rPr>
              <w:t>~</w:t>
            </w:r>
          </w:p>
        </w:tc>
      </w:tr>
      <w:tr>
        <w:tc>
          <w:tcPr>
            <w:tcW w:type="dxa" w:w="2422"/>
            <w:shd w:val="clear" w:color="auto" w:fill="F2F2F2"/>
          </w:tcPr>
          <w:p>
            <w:pPr>
              <w:spacing w:before="20" w:after="20"/>
              <w:jc w:val="left"/>
            </w:pPr>
            <w:r>
              <w:rPr>
                <w:rFonts w:ascii="Calibri" w:hAnsi="Calibri"/>
                <w:b w:val="0"/>
                <w:i w:val="0"/>
                <w:sz w:val="18"/>
              </w:rPr>
              <w:t>Best-Practice Score %</w:t>
            </w:r>
          </w:p>
        </w:tc>
        <w:tc>
          <w:tcPr>
            <w:tcW w:type="dxa" w:w="2422"/>
            <w:shd w:val="clear" w:color="auto" w:fill="F2F2F2"/>
          </w:tcPr>
          <w:p>
            <w:pPr>
              <w:spacing w:before="20" w:after="20"/>
              <w:jc w:val="center"/>
            </w:pPr>
            <w:r>
              <w:rPr>
                <w:rFonts w:ascii="Calibri" w:hAnsi="Calibri"/>
                <w:b w:val="0"/>
                <w:i w:val="0"/>
                <w:sz w:val="18"/>
              </w:rPr>
              <w:t>43.17%</w:t>
            </w:r>
          </w:p>
        </w:tc>
        <w:tc>
          <w:tcPr>
            <w:tcW w:type="dxa" w:w="2422"/>
            <w:shd w:val="clear" w:color="auto" w:fill="F2F2F2"/>
          </w:tcPr>
          <w:p>
            <w:pPr>
              <w:spacing w:before="20" w:after="20"/>
              <w:jc w:val="left"/>
            </w:pPr>
            <w:r>
              <w:rPr>
                <w:rFonts w:ascii="Calibri" w:hAnsi="Calibri"/>
                <w:b w:val="0"/>
                <w:i w:val="0"/>
                <w:sz w:val="18"/>
              </w:rPr>
              <w:t>Higher is better</w:t>
            </w:r>
          </w:p>
        </w:tc>
        <w:tc>
          <w:tcPr>
            <w:tcW w:type="dxa" w:w="2422"/>
            <w:shd w:val="clear" w:color="auto" w:fill="F2F2F2"/>
          </w:tcPr>
          <w:p>
            <w:pPr>
              <w:spacing w:before="20" w:after="20"/>
              <w:jc w:val="center"/>
            </w:pPr>
            <w:r>
              <w:rPr>
                <w:rFonts w:ascii="Calibri" w:hAnsi="Calibri"/>
                <w:b/>
                <w:i w:val="0"/>
                <w:color w:val="404040"/>
                <w:sz w:val="18"/>
              </w:rPr>
              <w:t>~</w:t>
            </w:r>
          </w:p>
        </w:tc>
      </w:tr>
      <w:tr>
        <w:tc>
          <w:tcPr>
            <w:tcW w:type="dxa" w:w="2422"/>
            <w:shd w:val="clear" w:color="auto" w:fill="BDD7EE"/>
          </w:tcPr>
          <w:p>
            <w:pPr>
              <w:spacing w:before="20" w:after="20"/>
              <w:jc w:val="left"/>
            </w:pPr>
            <w:r>
              <w:rPr>
                <w:rFonts w:ascii="Calibri" w:hAnsi="Calibri"/>
                <w:b w:val="0"/>
                <w:i w:val="0"/>
                <w:sz w:val="18"/>
              </w:rPr>
              <w:t>Code Similarity %</w:t>
            </w:r>
          </w:p>
        </w:tc>
        <w:tc>
          <w:tcPr>
            <w:tcW w:type="dxa" w:w="2422"/>
            <w:shd w:val="clear" w:color="auto" w:fill="BDD7EE"/>
          </w:tcPr>
          <w:p>
            <w:pPr>
              <w:spacing w:before="20" w:after="20"/>
              <w:jc w:val="center"/>
            </w:pPr>
            <w:r>
              <w:rPr>
                <w:rFonts w:ascii="Calibri" w:hAnsi="Calibri"/>
                <w:b w:val="0"/>
                <w:i w:val="0"/>
                <w:sz w:val="18"/>
              </w:rPr>
              <w:t>11.82%</w:t>
            </w:r>
          </w:p>
        </w:tc>
        <w:tc>
          <w:tcPr>
            <w:tcW w:type="dxa" w:w="2422"/>
            <w:shd w:val="clear" w:color="auto" w:fill="BDD7EE"/>
          </w:tcPr>
          <w:p>
            <w:pPr>
              <w:spacing w:before="20" w:after="20"/>
              <w:jc w:val="left"/>
            </w:pPr>
            <w:r>
              <w:rPr>
                <w:rFonts w:ascii="Calibri" w:hAnsi="Calibri"/>
                <w:b w:val="0"/>
                <w:i w:val="0"/>
                <w:sz w:val="18"/>
              </w:rPr>
              <w:t>Higher is better (informational)</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F2F2F2"/>
          </w:tcPr>
          <w:p>
            <w:pPr>
              <w:spacing w:before="20" w:after="20"/>
              <w:jc w:val="left"/>
            </w:pPr>
            <w:r>
              <w:rPr>
                <w:rFonts w:ascii="Calibri" w:hAnsi="Calibri"/>
                <w:b w:val="0"/>
                <w:i w:val="0"/>
                <w:sz w:val="18"/>
              </w:rPr>
              <w:t>Composite Score /100</w:t>
            </w:r>
          </w:p>
        </w:tc>
        <w:tc>
          <w:tcPr>
            <w:tcW w:type="dxa" w:w="2422"/>
            <w:shd w:val="clear" w:color="auto" w:fill="F2F2F2"/>
          </w:tcPr>
          <w:p>
            <w:pPr>
              <w:spacing w:before="20" w:after="20"/>
              <w:jc w:val="center"/>
            </w:pPr>
            <w:r>
              <w:rPr>
                <w:rFonts w:ascii="Calibri" w:hAnsi="Calibri"/>
                <w:b w:val="0"/>
                <w:i w:val="0"/>
                <w:sz w:val="18"/>
              </w:rPr>
              <w:t>92.48</w:t>
            </w:r>
          </w:p>
        </w:tc>
        <w:tc>
          <w:tcPr>
            <w:tcW w:type="dxa" w:w="2422"/>
            <w:shd w:val="clear" w:color="auto" w:fill="F2F2F2"/>
          </w:tcPr>
          <w:p>
            <w:pPr>
              <w:spacing w:before="20" w:after="20"/>
              <w:jc w:val="left"/>
            </w:pPr>
            <w:r>
              <w:rPr>
                <w:rFonts w:ascii="Calibri" w:hAnsi="Calibri"/>
                <w:b w:val="0"/>
                <w:i w:val="0"/>
                <w:sz w:val="18"/>
              </w:rPr>
              <w:t>Higher is better</w:t>
            </w:r>
          </w:p>
        </w:tc>
        <w:tc>
          <w:tcPr>
            <w:tcW w:type="dxa" w:w="2422"/>
            <w:shd w:val="clear" w:color="auto" w:fill="F2F2F2"/>
          </w:tcPr>
          <w:p>
            <w:pPr>
              <w:spacing w:before="20" w:after="20"/>
              <w:jc w:val="center"/>
            </w:pPr>
            <w:r>
              <w:rPr>
                <w:rFonts w:ascii="Calibri" w:hAnsi="Calibri"/>
                <w:b/>
                <w:i w:val="0"/>
                <w:color w:val="404040"/>
                <w:sz w:val="18"/>
              </w:rPr>
              <w:t>~</w:t>
            </w:r>
          </w:p>
        </w:tc>
      </w:tr>
      <w:tr>
        <w:tc>
          <w:tcPr>
            <w:tcW w:type="dxa" w:w="2422"/>
            <w:shd w:val="clear" w:color="auto" w:fill="FFFFFF"/>
          </w:tcPr>
          <w:p>
            <w:pPr>
              <w:spacing w:before="20" w:after="20"/>
              <w:jc w:val="left"/>
            </w:pPr>
            <w:r>
              <w:rPr>
                <w:rFonts w:ascii="Calibri" w:hAnsi="Calibri"/>
                <w:b w:val="0"/>
                <w:i w:val="0"/>
                <w:sz w:val="18"/>
              </w:rPr>
              <w:t>Final Rank</w:t>
            </w:r>
          </w:p>
        </w:tc>
        <w:tc>
          <w:tcPr>
            <w:tcW w:type="dxa" w:w="2422"/>
            <w:shd w:val="clear" w:color="auto" w:fill="FFFFFF"/>
          </w:tcPr>
          <w:p>
            <w:pPr>
              <w:spacing w:before="20" w:after="20"/>
              <w:jc w:val="center"/>
            </w:pPr>
            <w:r>
              <w:rPr>
                <w:rFonts w:ascii="Calibri" w:hAnsi="Calibri"/>
                <w:b w:val="0"/>
                <w:i w:val="0"/>
                <w:sz w:val="18"/>
              </w:rPr>
              <w:t>6 / 9</w:t>
            </w:r>
          </w:p>
        </w:tc>
        <w:tc>
          <w:tcPr>
            <w:tcW w:type="dxa" w:w="2422"/>
            <w:shd w:val="clear" w:color="auto" w:fill="FFFFFF"/>
          </w:tcPr>
          <w:p>
            <w:pPr>
              <w:spacing w:before="20" w:after="20"/>
              <w:jc w:val="left"/>
            </w:pPr>
            <w:r>
              <w:rPr>
                <w:rFonts w:ascii="Calibri" w:hAnsi="Calibri"/>
                <w:b w:val="0"/>
                <w:i w:val="0"/>
                <w:sz w:val="18"/>
              </w:rPr>
              <w:t>Lower is better</w:t>
            </w:r>
          </w:p>
        </w:tc>
        <w:tc>
          <w:tcPr>
            <w:tcW w:type="dxa" w:w="2422"/>
            <w:shd w:val="clear" w:color="auto" w:fill="FFFFFF"/>
          </w:tcPr>
          <w:p>
            <w:pPr>
              <w:spacing w:before="20" w:after="20"/>
              <w:jc w:val="center"/>
            </w:pPr>
            <w:r>
              <w:rPr>
                <w:rFonts w:ascii="Calibri" w:hAnsi="Calibri"/>
                <w:b/>
                <w:i w:val="0"/>
                <w:color w:val="404040"/>
                <w:sz w:val="18"/>
              </w:rPr>
              <w:t>~</w:t>
            </w:r>
          </w:p>
        </w:tc>
      </w:tr>
    </w:tbl>
    <w:p>
      <w:r>
        <w:br w:type="page"/>
      </w:r>
    </w:p>
    <w:p>
      <w:pPr>
        <w:pStyle w:val="Heading2"/>
      </w:pPr>
      <w:r>
        <w:rPr>
          <w:color w:val="1F3564"/>
        </w:rPr>
        <w:t>E08 – Security-Aware Generation</w:t>
      </w:r>
    </w:p>
    <w:p>
      <w:pPr>
        <w:spacing w:before="120" w:after="40"/>
      </w:pPr>
      <w:r>
        <w:rPr>
          <w:rFonts w:ascii="Calibri" w:hAnsi="Calibri"/>
          <w:b/>
          <w:color w:val="2E74B5"/>
          <w:sz w:val="21"/>
        </w:rPr>
        <w:t>Goal</w:t>
      </w:r>
    </w:p>
    <w:p>
      <w:pPr>
        <w:spacing w:before="40" w:after="40"/>
      </w:pPr>
      <w:r>
        <w:rPr>
          <w:rFonts w:ascii="Calibri" w:hAnsi="Calibri"/>
          <w:b w:val="0"/>
          <w:i w:val="0"/>
          <w:sz w:val="21"/>
        </w:rPr>
        <w:t>This experiment evaluates whether explicit security instructions in the prompt reduce unsafe Terraform configurations and improve best-practice quality. The model is guided to avoid hardcoded credentials, open SSH access, public storage buckets, overly permissive IAM policies, and unrestricted firewall rules.</w:t>
      </w:r>
    </w:p>
    <w:p>
      <w:pPr>
        <w:spacing w:before="40" w:after="40"/>
      </w:pPr>
      <w:r>
        <w:rPr>
          <w:rFonts w:ascii="Calibri" w:hAnsi="Calibri"/>
          <w:b/>
          <w:i w:val="0"/>
          <w:sz w:val="20"/>
        </w:rPr>
        <w:t>Primary Evaluation Focus: Best-Practice Score, Security Issues, Dependency Correctness</w:t>
      </w:r>
    </w:p>
    <w:p>
      <w:pPr>
        <w:spacing w:before="120" w:after="40"/>
      </w:pPr>
      <w:r>
        <w:rPr>
          <w:rFonts w:ascii="Calibri" w:hAnsi="Calibri"/>
          <w:b/>
          <w:color w:val="2E74B5"/>
          <w:sz w:val="21"/>
        </w:rPr>
        <w:t>Implementation Steps</w:t>
      </w:r>
    </w:p>
    <w:p>
      <w:pPr>
        <w:pStyle w:val="ListBullet"/>
        <w:spacing w:before="20" w:after="20"/>
      </w:pPr>
      <w:r>
        <w:rPr>
          <w:rFonts w:ascii="Calibri" w:hAnsi="Calibri"/>
          <w:sz w:val="20"/>
        </w:rPr>
        <w:t>Security-focused generation rules were embedded in the system prompt: avoid 0.0.0.0/0 SSH access, avoid public storage buckets, use variables instead of hardcoded values, apply encryption, and follow least-privilege IAM principles.</w:t>
      </w:r>
    </w:p>
    <w:p>
      <w:pPr>
        <w:pStyle w:val="ListBullet"/>
        <w:spacing w:before="20" w:after="20"/>
      </w:pPr>
      <w:r>
        <w:rPr>
          <w:rFonts w:ascii="Calibri" w:hAnsi="Calibri"/>
          <w:sz w:val="20"/>
        </w:rPr>
        <w:t>The security-augmented prompt was applied to all 300 test prompts across AWS, Azure, and GCP.</w:t>
      </w:r>
    </w:p>
    <w:p>
      <w:pPr>
        <w:pStyle w:val="ListBullet"/>
        <w:spacing w:before="20" w:after="20"/>
      </w:pPr>
      <w:r>
        <w:rPr>
          <w:rFonts w:ascii="Calibri" w:hAnsi="Calibri"/>
          <w:sz w:val="20"/>
        </w:rPr>
        <w:t>Generated code was passed through static security scanning as part of the offline evaluation.</w:t>
      </w:r>
    </w:p>
    <w:p>
      <w:pPr>
        <w:pStyle w:val="ListBullet"/>
        <w:spacing w:before="20" w:after="20"/>
      </w:pPr>
      <w:r>
        <w:rPr>
          <w:rFonts w:ascii="Calibri" w:hAnsi="Calibri"/>
          <w:sz w:val="20"/>
        </w:rPr>
        <w:t>All ten offline evaluation metrics were computed and stored in E08_SecurityAware_results.json.</w:t>
      </w:r>
    </w:p>
    <w:p>
      <w:pPr>
        <w:pStyle w:val="ListBullet"/>
        <w:spacing w:before="20" w:after="20"/>
      </w:pPr>
      <w:r>
        <w:rPr>
          <w:rFonts w:ascii="Calibri" w:hAnsi="Calibri"/>
          <w:sz w:val="20"/>
        </w:rPr>
        <w:t>Results were compared against E01–E07 with particular focus on security metrics and best-practice score.</w:t>
      </w:r>
    </w:p>
    <w:p>
      <w:pPr>
        <w:spacing w:before="120" w:after="40"/>
      </w:pPr>
      <w:r>
        <w:rPr>
          <w:rFonts w:ascii="Calibri" w:hAnsi="Calibri"/>
          <w:b/>
          <w:color w:val="2E74B5"/>
          <w:sz w:val="21"/>
        </w:rPr>
        <w:t>Results Discussion</w:t>
      </w:r>
    </w:p>
    <w:p>
      <w:pPr>
        <w:pStyle w:val="ListBullet"/>
        <w:spacing w:before="20" w:after="20"/>
      </w:pPr>
      <w:r>
        <w:rPr>
          <w:rFonts w:ascii="Calibri" w:hAnsi="Calibri"/>
          <w:b/>
          <w:sz w:val="20"/>
        </w:rPr>
        <w:t xml:space="preserve">HCL Syntax Validity (98.67%): </w:t>
      </w:r>
      <w:r>
        <w:rPr>
          <w:rFonts w:ascii="Calibri" w:hAnsi="Calibri"/>
          <w:sz w:val="20"/>
        </w:rPr>
        <w:t>Slightly below perfect — security constraints add prompt complexity that occasionally affects block structure.</w:t>
      </w:r>
    </w:p>
    <w:p>
      <w:pPr>
        <w:pStyle w:val="ListBullet"/>
        <w:spacing w:before="20" w:after="20"/>
      </w:pPr>
      <w:r>
        <w:rPr>
          <w:rFonts w:ascii="Calibri" w:hAnsi="Calibri"/>
          <w:b/>
          <w:sz w:val="20"/>
        </w:rPr>
        <w:t xml:space="preserve">Terraform Format Pass (100%): </w:t>
      </w:r>
      <w:r>
        <w:rPr>
          <w:rFonts w:ascii="Calibri" w:hAnsi="Calibri"/>
          <w:sz w:val="20"/>
        </w:rPr>
        <w:t>Perfect formatting maintained despite additional security instructions.</w:t>
      </w:r>
    </w:p>
    <w:p>
      <w:pPr>
        <w:pStyle w:val="ListBullet"/>
        <w:spacing w:before="20" w:after="20"/>
      </w:pPr>
      <w:r>
        <w:rPr>
          <w:rFonts w:ascii="Calibri" w:hAnsi="Calibri"/>
          <w:b/>
          <w:sz w:val="20"/>
        </w:rPr>
        <w:t xml:space="preserve">Terraform Validation Pass (98.67%): </w:t>
      </w:r>
      <w:r>
        <w:rPr>
          <w:rFonts w:ascii="Calibri" w:hAnsi="Calibri"/>
          <w:sz w:val="20"/>
        </w:rPr>
        <w:t>Small drop from baseline — security-constrained prompts may occasionally produce more conservative configurations that fail validation.</w:t>
      </w:r>
    </w:p>
    <w:p>
      <w:pPr>
        <w:pStyle w:val="ListBullet"/>
        <w:spacing w:before="20" w:after="20"/>
      </w:pPr>
      <w:r>
        <w:rPr>
          <w:rFonts w:ascii="Calibri" w:hAnsi="Calibri"/>
          <w:b/>
          <w:sz w:val="20"/>
        </w:rPr>
        <w:t xml:space="preserve">Provider Correctness (100%): </w:t>
      </w:r>
      <w:r>
        <w:rPr>
          <w:rFonts w:ascii="Calibri" w:hAnsi="Calibri"/>
          <w:sz w:val="20"/>
        </w:rPr>
        <w:t>Perfect provider correctness unaffected by security instructions.</w:t>
      </w:r>
    </w:p>
    <w:p>
      <w:pPr>
        <w:pStyle w:val="ListBullet"/>
        <w:spacing w:before="20" w:after="20"/>
      </w:pPr>
      <w:r>
        <w:rPr>
          <w:rFonts w:ascii="Calibri" w:hAnsi="Calibri"/>
          <w:b/>
          <w:sz w:val="20"/>
        </w:rPr>
        <w:t xml:space="preserve">Resource Coverage (91.17%): </w:t>
      </w:r>
      <w:r>
        <w:rPr>
          <w:rFonts w:ascii="Calibri" w:hAnsi="Calibri"/>
          <w:sz w:val="20"/>
        </w:rPr>
        <w:t>Strong resource coverage, matching Hybrid RAG, as security-focused prompts encourage complete resource definition.</w:t>
      </w:r>
    </w:p>
    <w:p>
      <w:pPr>
        <w:pStyle w:val="ListBullet"/>
        <w:spacing w:before="20" w:after="20"/>
      </w:pPr>
      <w:r>
        <w:rPr>
          <w:rFonts w:ascii="Calibri" w:hAnsi="Calibri"/>
          <w:b/>
          <w:sz w:val="20"/>
        </w:rPr>
        <w:t xml:space="preserve">Dependency Score (98.67%): </w:t>
      </w:r>
      <w:r>
        <w:rPr>
          <w:rFonts w:ascii="Calibri" w:hAnsi="Calibri"/>
          <w:sz w:val="20"/>
        </w:rPr>
        <w:t>Strong dependency quality — security instructions encourage explicit resource definitions and cross-references.</w:t>
      </w:r>
    </w:p>
    <w:p>
      <w:pPr>
        <w:pStyle w:val="ListBullet"/>
        <w:spacing w:before="20" w:after="20"/>
      </w:pPr>
      <w:r>
        <w:rPr>
          <w:rFonts w:ascii="Calibri" w:hAnsi="Calibri"/>
          <w:b/>
          <w:sz w:val="20"/>
        </w:rPr>
        <w:t xml:space="preserve">Security Issues (0.33 per sample): </w:t>
      </w:r>
      <w:r>
        <w:rPr>
          <w:rFonts w:ascii="Calibri" w:hAnsi="Calibri"/>
          <w:sz w:val="20"/>
        </w:rPr>
        <w:t>Unexpectedly higher security issue count than expected. Static scanning tools may flag conservative configurations such as explicit deny rules as warnings.</w:t>
      </w:r>
    </w:p>
    <w:p>
      <w:pPr>
        <w:pStyle w:val="ListBullet"/>
        <w:spacing w:before="20" w:after="20"/>
      </w:pPr>
      <w:r>
        <w:rPr>
          <w:rFonts w:ascii="Calibri" w:hAnsi="Calibri"/>
          <w:b/>
          <w:sz w:val="20"/>
        </w:rPr>
        <w:t xml:space="preserve">Best-Practice Score (60.08%): </w:t>
      </w:r>
      <w:r>
        <w:rPr>
          <w:rFonts w:ascii="Calibri" w:hAnsi="Calibri"/>
          <w:sz w:val="20"/>
        </w:rPr>
        <w:t>Dramatically highest best-practice score across all nine experiments. Security instructions directly drive variable usage, tag application, and structured output.</w:t>
      </w:r>
    </w:p>
    <w:p>
      <w:pPr>
        <w:pStyle w:val="ListBullet"/>
        <w:spacing w:before="20" w:after="20"/>
      </w:pPr>
      <w:r>
        <w:rPr>
          <w:rFonts w:ascii="Calibri" w:hAnsi="Calibri"/>
          <w:b/>
          <w:sz w:val="20"/>
        </w:rPr>
        <w:t xml:space="preserve">Code Similarity (9.34%): </w:t>
      </w:r>
      <w:r>
        <w:rPr>
          <w:rFonts w:ascii="Calibri" w:hAnsi="Calibri"/>
          <w:sz w:val="20"/>
        </w:rPr>
        <w:t>Lower code similarity — security constraints shift generated code away from typical open-source TerraDS patterns.</w:t>
      </w:r>
    </w:p>
    <w:p>
      <w:pPr>
        <w:pStyle w:val="ListBullet"/>
        <w:spacing w:before="20" w:after="20"/>
      </w:pPr>
      <w:r>
        <w:rPr>
          <w:rFonts w:ascii="Calibri" w:hAnsi="Calibri"/>
          <w:b/>
          <w:sz w:val="20"/>
        </w:rPr>
        <w:t xml:space="preserve">Final Weighted Score (93.81 / Rank 2): </w:t>
      </w:r>
      <w:r>
        <w:rPr>
          <w:rFonts w:ascii="Calibri" w:hAnsi="Calibri"/>
          <w:sz w:val="20"/>
        </w:rPr>
        <w:t>Second-best result overall. The massive best-practice improvement drives the high composite score despite the unexpected security issue count.</w:t>
      </w:r>
    </w:p>
    <w:p>
      <w:pPr>
        <w:spacing w:before="120" w:after="40"/>
      </w:pPr>
      <w:r>
        <w:rPr>
          <w:rFonts w:ascii="Calibri" w:hAnsi="Calibri"/>
          <w:b/>
          <w:color w:val="2E74B5"/>
          <w:sz w:val="21"/>
        </w:rPr>
        <w:t>Advantages</w:t>
      </w:r>
    </w:p>
    <w:p>
      <w:pPr>
        <w:pStyle w:val="ListBullet"/>
        <w:spacing w:before="20" w:after="20"/>
      </w:pPr>
      <w:r>
        <w:rPr>
          <w:rFonts w:ascii="Calibri" w:hAnsi="Calibri"/>
          <w:sz w:val="20"/>
        </w:rPr>
        <w:t>Dramatically highest best-practice score (60.08%) across all experiments — security instructions directly promote good code structure.</w:t>
      </w:r>
    </w:p>
    <w:p>
      <w:pPr>
        <w:pStyle w:val="ListBullet"/>
        <w:spacing w:before="20" w:after="20"/>
      </w:pPr>
      <w:r>
        <w:rPr>
          <w:rFonts w:ascii="Calibri" w:hAnsi="Calibri"/>
          <w:sz w:val="20"/>
        </w:rPr>
        <w:t>Strong dependency correctness and resource coverage without requiring retrieval infrastructure.</w:t>
      </w:r>
    </w:p>
    <w:p>
      <w:pPr>
        <w:pStyle w:val="ListBullet"/>
        <w:spacing w:before="20" w:after="20"/>
      </w:pPr>
      <w:r>
        <w:rPr>
          <w:rFonts w:ascii="Calibri" w:hAnsi="Calibri"/>
          <w:sz w:val="20"/>
        </w:rPr>
        <w:t>Simple to implement — requires only prompt augmentation with security rules.</w:t>
      </w:r>
    </w:p>
    <w:p>
      <w:pPr>
        <w:spacing w:before="120" w:after="40"/>
      </w:pPr>
      <w:r>
        <w:rPr>
          <w:rFonts w:ascii="Calibri" w:hAnsi="Calibri"/>
          <w:b/>
          <w:color w:val="2E74B5"/>
          <w:sz w:val="21"/>
        </w:rPr>
        <w:t>Disadvantages</w:t>
      </w:r>
    </w:p>
    <w:p>
      <w:pPr>
        <w:pStyle w:val="ListBullet"/>
        <w:spacing w:before="20" w:after="20"/>
      </w:pPr>
      <w:r>
        <w:rPr>
          <w:rFonts w:ascii="Calibri" w:hAnsi="Calibri"/>
          <w:sz w:val="20"/>
        </w:rPr>
        <w:t>Unexpectedly higher static security issue count despite security-focused instructions — static scanners flag some conservative configurations.</w:t>
      </w:r>
    </w:p>
    <w:p>
      <w:pPr>
        <w:pStyle w:val="ListBullet"/>
        <w:spacing w:before="20" w:after="20"/>
      </w:pPr>
      <w:r>
        <w:rPr>
          <w:rFonts w:ascii="Calibri" w:hAnsi="Calibri"/>
          <w:sz w:val="20"/>
        </w:rPr>
        <w:t>Lower code similarity compared to RAG experiments — security constraints produce code that diverges from typical open-source Terraform patterns.</w:t>
      </w:r>
    </w:p>
    <w:p>
      <w:pPr>
        <w:pStyle w:val="ListBullet"/>
        <w:spacing w:before="20" w:after="20"/>
      </w:pPr>
      <w:r>
        <w:rPr>
          <w:rFonts w:ascii="Calibri" w:hAnsi="Calibri"/>
          <w:sz w:val="20"/>
        </w:rPr>
        <w:t>HCL syntax and validation pass rates are slightly lower than prompt-only experiments due to added prompt complexity.</w:t>
      </w:r>
    </w:p>
    <w:p>
      <w:pPr>
        <w:spacing w:before="120" w:after="40"/>
      </w:pPr>
      <w:r>
        <w:rPr>
          <w:rFonts w:ascii="Calibri" w:hAnsi="Calibri"/>
          <w:b/>
          <w:color w:val="2E74B5"/>
          <w:sz w:val="21"/>
        </w:rPr>
        <w:t>Main Results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F3564"/>
          </w:tcPr>
          <w:p>
            <w:pPr>
              <w:spacing w:before="20" w:after="20"/>
              <w:jc w:val="center"/>
            </w:pPr>
            <w:r>
              <w:rPr>
                <w:rFonts w:ascii="Calibri" w:hAnsi="Calibri"/>
                <w:b/>
                <w:i w:val="0"/>
                <w:color w:val="FFFFFF"/>
                <w:sz w:val="18"/>
              </w:rPr>
              <w:t>Metric</w:t>
            </w:r>
          </w:p>
        </w:tc>
        <w:tc>
          <w:tcPr>
            <w:tcW w:type="dxa" w:w="2422"/>
            <w:shd w:val="clear" w:color="auto" w:fill="1F3564"/>
          </w:tcPr>
          <w:p>
            <w:pPr>
              <w:spacing w:before="20" w:after="20"/>
              <w:jc w:val="center"/>
            </w:pPr>
            <w:r>
              <w:rPr>
                <w:rFonts w:ascii="Calibri" w:hAnsi="Calibri"/>
                <w:b/>
                <w:i w:val="0"/>
                <w:color w:val="FFFFFF"/>
                <w:sz w:val="18"/>
              </w:rPr>
              <w:t>Value</w:t>
            </w:r>
          </w:p>
        </w:tc>
        <w:tc>
          <w:tcPr>
            <w:tcW w:type="dxa" w:w="2422"/>
            <w:shd w:val="clear" w:color="auto" w:fill="1F3564"/>
          </w:tcPr>
          <w:p>
            <w:pPr>
              <w:spacing w:before="20" w:after="20"/>
              <w:jc w:val="center"/>
            </w:pPr>
            <w:r>
              <w:rPr>
                <w:rFonts w:ascii="Calibri" w:hAnsi="Calibri"/>
                <w:b/>
                <w:i w:val="0"/>
                <w:color w:val="FFFFFF"/>
                <w:sz w:val="18"/>
              </w:rPr>
              <w:t>Direction</w:t>
            </w:r>
          </w:p>
        </w:tc>
        <w:tc>
          <w:tcPr>
            <w:tcW w:type="dxa" w:w="2422"/>
            <w:shd w:val="clear" w:color="auto" w:fill="1F3564"/>
          </w:tcPr>
          <w:p>
            <w:pPr>
              <w:spacing w:before="20" w:after="20"/>
              <w:jc w:val="center"/>
            </w:pPr>
            <w:r>
              <w:rPr>
                <w:rFonts w:ascii="Calibri" w:hAnsi="Calibri"/>
                <w:b/>
                <w:i w:val="0"/>
                <w:color w:val="FFFFFF"/>
                <w:sz w:val="18"/>
              </w:rPr>
              <w:t>Status</w:t>
            </w:r>
          </w:p>
        </w:tc>
      </w:tr>
      <w:tr>
        <w:tc>
          <w:tcPr>
            <w:tcW w:type="dxa" w:w="2422"/>
            <w:shd w:val="clear" w:color="auto" w:fill="F2F2F2"/>
          </w:tcPr>
          <w:p>
            <w:pPr>
              <w:spacing w:before="20" w:after="20"/>
              <w:jc w:val="left"/>
            </w:pPr>
            <w:r>
              <w:rPr>
                <w:rFonts w:ascii="Calibri" w:hAnsi="Calibri"/>
                <w:b w:val="0"/>
                <w:i w:val="0"/>
                <w:sz w:val="18"/>
              </w:rPr>
              <w:t>HCL Syntax Validity %</w:t>
            </w:r>
          </w:p>
        </w:tc>
        <w:tc>
          <w:tcPr>
            <w:tcW w:type="dxa" w:w="2422"/>
            <w:shd w:val="clear" w:color="auto" w:fill="F2F2F2"/>
          </w:tcPr>
          <w:p>
            <w:pPr>
              <w:spacing w:before="20" w:after="20"/>
              <w:jc w:val="center"/>
            </w:pPr>
            <w:r>
              <w:rPr>
                <w:rFonts w:ascii="Calibri" w:hAnsi="Calibri"/>
                <w:b w:val="0"/>
                <w:i w:val="0"/>
                <w:sz w:val="18"/>
              </w:rPr>
              <w:t>98.67%</w:t>
            </w:r>
          </w:p>
        </w:tc>
        <w:tc>
          <w:tcPr>
            <w:tcW w:type="dxa" w:w="2422"/>
            <w:shd w:val="clear" w:color="auto" w:fill="F2F2F2"/>
          </w:tcPr>
          <w:p>
            <w:pPr>
              <w:spacing w:before="20" w:after="20"/>
              <w:jc w:val="left"/>
            </w:pPr>
            <w:r>
              <w:rPr>
                <w:rFonts w:ascii="Calibri" w:hAnsi="Calibri"/>
                <w:b w:val="0"/>
                <w:i w:val="0"/>
                <w:sz w:val="18"/>
              </w:rPr>
              <w:t>Higher is better</w:t>
            </w:r>
          </w:p>
        </w:tc>
        <w:tc>
          <w:tcPr>
            <w:tcW w:type="dxa" w:w="2422"/>
            <w:shd w:val="clear" w:color="auto" w:fill="F2F2F2"/>
          </w:tcPr>
          <w:p>
            <w:pPr>
              <w:spacing w:before="20" w:after="20"/>
              <w:jc w:val="center"/>
            </w:pPr>
            <w:r>
              <w:rPr>
                <w:rFonts w:ascii="Calibri" w:hAnsi="Calibri"/>
                <w:b/>
                <w:i w:val="0"/>
                <w:color w:val="404040"/>
                <w:sz w:val="18"/>
              </w:rPr>
              <w:t>~</w:t>
            </w:r>
          </w:p>
        </w:tc>
      </w:tr>
      <w:tr>
        <w:tc>
          <w:tcPr>
            <w:tcW w:type="dxa" w:w="2422"/>
            <w:shd w:val="clear" w:color="auto" w:fill="BDD7EE"/>
          </w:tcPr>
          <w:p>
            <w:pPr>
              <w:spacing w:before="20" w:after="20"/>
              <w:jc w:val="left"/>
            </w:pPr>
            <w:r>
              <w:rPr>
                <w:rFonts w:ascii="Calibri" w:hAnsi="Calibri"/>
                <w:b w:val="0"/>
                <w:i w:val="0"/>
                <w:sz w:val="18"/>
              </w:rPr>
              <w:t>Terraform Format Pass %</w:t>
            </w:r>
          </w:p>
        </w:tc>
        <w:tc>
          <w:tcPr>
            <w:tcW w:type="dxa" w:w="2422"/>
            <w:shd w:val="clear" w:color="auto" w:fill="BDD7EE"/>
          </w:tcPr>
          <w:p>
            <w:pPr>
              <w:spacing w:before="20" w:after="20"/>
              <w:jc w:val="center"/>
            </w:pPr>
            <w:r>
              <w:rPr>
                <w:rFonts w:ascii="Calibri" w:hAnsi="Calibri"/>
                <w:b w:val="0"/>
                <w:i w:val="0"/>
                <w:sz w:val="18"/>
              </w:rPr>
              <w:t>100.00%</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F2F2F2"/>
          </w:tcPr>
          <w:p>
            <w:pPr>
              <w:spacing w:before="20" w:after="20"/>
              <w:jc w:val="left"/>
            </w:pPr>
            <w:r>
              <w:rPr>
                <w:rFonts w:ascii="Calibri" w:hAnsi="Calibri"/>
                <w:b w:val="0"/>
                <w:i w:val="0"/>
                <w:sz w:val="18"/>
              </w:rPr>
              <w:t>Terraform Validation Pass %</w:t>
            </w:r>
          </w:p>
        </w:tc>
        <w:tc>
          <w:tcPr>
            <w:tcW w:type="dxa" w:w="2422"/>
            <w:shd w:val="clear" w:color="auto" w:fill="F2F2F2"/>
          </w:tcPr>
          <w:p>
            <w:pPr>
              <w:spacing w:before="20" w:after="20"/>
              <w:jc w:val="center"/>
            </w:pPr>
            <w:r>
              <w:rPr>
                <w:rFonts w:ascii="Calibri" w:hAnsi="Calibri"/>
                <w:b w:val="0"/>
                <w:i w:val="0"/>
                <w:sz w:val="18"/>
              </w:rPr>
              <w:t>98.67%</w:t>
            </w:r>
          </w:p>
        </w:tc>
        <w:tc>
          <w:tcPr>
            <w:tcW w:type="dxa" w:w="2422"/>
            <w:shd w:val="clear" w:color="auto" w:fill="F2F2F2"/>
          </w:tcPr>
          <w:p>
            <w:pPr>
              <w:spacing w:before="20" w:after="20"/>
              <w:jc w:val="left"/>
            </w:pPr>
            <w:r>
              <w:rPr>
                <w:rFonts w:ascii="Calibri" w:hAnsi="Calibri"/>
                <w:b w:val="0"/>
                <w:i w:val="0"/>
                <w:sz w:val="18"/>
              </w:rPr>
              <w:t>Higher is better</w:t>
            </w:r>
          </w:p>
        </w:tc>
        <w:tc>
          <w:tcPr>
            <w:tcW w:type="dxa" w:w="2422"/>
            <w:shd w:val="clear" w:color="auto" w:fill="F2F2F2"/>
          </w:tcPr>
          <w:p>
            <w:pPr>
              <w:spacing w:before="20" w:after="20"/>
              <w:jc w:val="center"/>
            </w:pPr>
            <w:r>
              <w:rPr>
                <w:rFonts w:ascii="Calibri" w:hAnsi="Calibri"/>
                <w:b/>
                <w:i w:val="0"/>
                <w:color w:val="404040"/>
                <w:sz w:val="18"/>
              </w:rPr>
              <w:t>~</w:t>
            </w:r>
          </w:p>
        </w:tc>
      </w:tr>
      <w:tr>
        <w:tc>
          <w:tcPr>
            <w:tcW w:type="dxa" w:w="2422"/>
            <w:shd w:val="clear" w:color="auto" w:fill="BDD7EE"/>
          </w:tcPr>
          <w:p>
            <w:pPr>
              <w:spacing w:before="20" w:after="20"/>
              <w:jc w:val="left"/>
            </w:pPr>
            <w:r>
              <w:rPr>
                <w:rFonts w:ascii="Calibri" w:hAnsi="Calibri"/>
                <w:b w:val="0"/>
                <w:i w:val="0"/>
                <w:sz w:val="18"/>
              </w:rPr>
              <w:t>Provider Correctness %</w:t>
            </w:r>
          </w:p>
        </w:tc>
        <w:tc>
          <w:tcPr>
            <w:tcW w:type="dxa" w:w="2422"/>
            <w:shd w:val="clear" w:color="auto" w:fill="BDD7EE"/>
          </w:tcPr>
          <w:p>
            <w:pPr>
              <w:spacing w:before="20" w:after="20"/>
              <w:jc w:val="center"/>
            </w:pPr>
            <w:r>
              <w:rPr>
                <w:rFonts w:ascii="Calibri" w:hAnsi="Calibri"/>
                <w:b w:val="0"/>
                <w:i w:val="0"/>
                <w:sz w:val="18"/>
              </w:rPr>
              <w:t>100.00%</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Resource Coverage %</w:t>
            </w:r>
          </w:p>
        </w:tc>
        <w:tc>
          <w:tcPr>
            <w:tcW w:type="dxa" w:w="2422"/>
            <w:shd w:val="clear" w:color="auto" w:fill="BDD7EE"/>
          </w:tcPr>
          <w:p>
            <w:pPr>
              <w:spacing w:before="20" w:after="20"/>
              <w:jc w:val="center"/>
            </w:pPr>
            <w:r>
              <w:rPr>
                <w:rFonts w:ascii="Calibri" w:hAnsi="Calibri"/>
                <w:b w:val="0"/>
                <w:i w:val="0"/>
                <w:sz w:val="18"/>
              </w:rPr>
              <w:t>91.17%</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Dependency Score %</w:t>
            </w:r>
          </w:p>
        </w:tc>
        <w:tc>
          <w:tcPr>
            <w:tcW w:type="dxa" w:w="2422"/>
            <w:shd w:val="clear" w:color="auto" w:fill="BDD7EE"/>
          </w:tcPr>
          <w:p>
            <w:pPr>
              <w:spacing w:before="20" w:after="20"/>
              <w:jc w:val="center"/>
            </w:pPr>
            <w:r>
              <w:rPr>
                <w:rFonts w:ascii="Calibri" w:hAnsi="Calibri"/>
                <w:b w:val="0"/>
                <w:i w:val="0"/>
                <w:sz w:val="18"/>
              </w:rPr>
              <w:t>98.67%</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FFCCCC"/>
          </w:tcPr>
          <w:p>
            <w:pPr>
              <w:spacing w:before="20" w:after="20"/>
              <w:jc w:val="left"/>
            </w:pPr>
            <w:r>
              <w:rPr>
                <w:rFonts w:ascii="Calibri" w:hAnsi="Calibri"/>
                <w:b w:val="0"/>
                <w:i w:val="0"/>
                <w:sz w:val="18"/>
              </w:rPr>
              <w:t>Security Issues (avg)</w:t>
            </w:r>
          </w:p>
        </w:tc>
        <w:tc>
          <w:tcPr>
            <w:tcW w:type="dxa" w:w="2422"/>
            <w:shd w:val="clear" w:color="auto" w:fill="FFCCCC"/>
          </w:tcPr>
          <w:p>
            <w:pPr>
              <w:spacing w:before="20" w:after="20"/>
              <w:jc w:val="center"/>
            </w:pPr>
            <w:r>
              <w:rPr>
                <w:rFonts w:ascii="Calibri" w:hAnsi="Calibri"/>
                <w:b w:val="0"/>
                <w:i w:val="0"/>
                <w:sz w:val="18"/>
              </w:rPr>
              <w:t>0.3300</w:t>
            </w:r>
          </w:p>
        </w:tc>
        <w:tc>
          <w:tcPr>
            <w:tcW w:type="dxa" w:w="2422"/>
            <w:shd w:val="clear" w:color="auto" w:fill="FFCCCC"/>
          </w:tcPr>
          <w:p>
            <w:pPr>
              <w:spacing w:before="20" w:after="20"/>
              <w:jc w:val="left"/>
            </w:pPr>
            <w:r>
              <w:rPr>
                <w:rFonts w:ascii="Calibri" w:hAnsi="Calibri"/>
                <w:b w:val="0"/>
                <w:i w:val="0"/>
                <w:sz w:val="18"/>
              </w:rPr>
              <w:t>Lower is better</w:t>
            </w:r>
          </w:p>
        </w:tc>
        <w:tc>
          <w:tcPr>
            <w:tcW w:type="dxa" w:w="2422"/>
            <w:shd w:val="clear" w:color="auto" w:fill="FFCCCC"/>
          </w:tcPr>
          <w:p>
            <w:pPr>
              <w:spacing w:before="20" w:after="20"/>
              <w:jc w:val="center"/>
            </w:pPr>
            <w:r>
              <w:rPr>
                <w:rFonts w:ascii="Calibri" w:hAnsi="Calibri"/>
                <w:b/>
                <w:i w:val="0"/>
                <w:color w:val="FF0000"/>
                <w:sz w:val="18"/>
              </w:rPr>
              <w:t>!</w:t>
            </w:r>
          </w:p>
        </w:tc>
      </w:tr>
      <w:tr>
        <w:tc>
          <w:tcPr>
            <w:tcW w:type="dxa" w:w="2422"/>
            <w:shd w:val="clear" w:color="auto" w:fill="FFFFFF"/>
          </w:tcPr>
          <w:p>
            <w:pPr>
              <w:spacing w:before="20" w:after="20"/>
              <w:jc w:val="left"/>
            </w:pPr>
            <w:r>
              <w:rPr>
                <w:rFonts w:ascii="Calibri" w:hAnsi="Calibri"/>
                <w:b w:val="0"/>
                <w:i w:val="0"/>
                <w:sz w:val="18"/>
              </w:rPr>
              <w:t>Hardcoded Secrets (avg)</w:t>
            </w:r>
          </w:p>
        </w:tc>
        <w:tc>
          <w:tcPr>
            <w:tcW w:type="dxa" w:w="2422"/>
            <w:shd w:val="clear" w:color="auto" w:fill="FFFFFF"/>
          </w:tcPr>
          <w:p>
            <w:pPr>
              <w:spacing w:before="20" w:after="20"/>
              <w:jc w:val="center"/>
            </w:pPr>
            <w:r>
              <w:rPr>
                <w:rFonts w:ascii="Calibri" w:hAnsi="Calibri"/>
                <w:b w:val="0"/>
                <w:i w:val="0"/>
                <w:sz w:val="18"/>
              </w:rPr>
              <w:t>0.0100</w:t>
            </w:r>
          </w:p>
        </w:tc>
        <w:tc>
          <w:tcPr>
            <w:tcW w:type="dxa" w:w="2422"/>
            <w:shd w:val="clear" w:color="auto" w:fill="FFFFFF"/>
          </w:tcPr>
          <w:p>
            <w:pPr>
              <w:spacing w:before="20" w:after="20"/>
              <w:jc w:val="left"/>
            </w:pPr>
            <w:r>
              <w:rPr>
                <w:rFonts w:ascii="Calibri" w:hAnsi="Calibri"/>
                <w:b w:val="0"/>
                <w:i w:val="0"/>
                <w:sz w:val="18"/>
              </w:rPr>
              <w:t>Lower is better</w:t>
            </w:r>
          </w:p>
        </w:tc>
        <w:tc>
          <w:tcPr>
            <w:tcW w:type="dxa" w:w="2422"/>
            <w:shd w:val="clear" w:color="auto" w:fill="FFFFFF"/>
          </w:tcPr>
          <w:p>
            <w:pPr>
              <w:spacing w:before="20" w:after="20"/>
              <w:jc w:val="center"/>
            </w:pPr>
            <w:r>
              <w:rPr>
                <w:rFonts w:ascii="Calibri" w:hAnsi="Calibri"/>
                <w:b/>
                <w:i w:val="0"/>
                <w:color w:val="404040"/>
                <w:sz w:val="18"/>
              </w:rPr>
              <w:t>~</w:t>
            </w:r>
          </w:p>
        </w:tc>
      </w:tr>
      <w:tr>
        <w:tc>
          <w:tcPr>
            <w:tcW w:type="dxa" w:w="2422"/>
            <w:shd w:val="clear" w:color="auto" w:fill="BDD7EE"/>
          </w:tcPr>
          <w:p>
            <w:pPr>
              <w:spacing w:before="20" w:after="20"/>
              <w:jc w:val="left"/>
            </w:pPr>
            <w:r>
              <w:rPr>
                <w:rFonts w:ascii="Calibri" w:hAnsi="Calibri"/>
                <w:b w:val="0"/>
                <w:i w:val="0"/>
                <w:sz w:val="18"/>
              </w:rPr>
              <w:t>Best-Practice Score %</w:t>
            </w:r>
          </w:p>
        </w:tc>
        <w:tc>
          <w:tcPr>
            <w:tcW w:type="dxa" w:w="2422"/>
            <w:shd w:val="clear" w:color="auto" w:fill="BDD7EE"/>
          </w:tcPr>
          <w:p>
            <w:pPr>
              <w:spacing w:before="20" w:after="20"/>
              <w:jc w:val="center"/>
            </w:pPr>
            <w:r>
              <w:rPr>
                <w:rFonts w:ascii="Calibri" w:hAnsi="Calibri"/>
                <w:b w:val="0"/>
                <w:i w:val="0"/>
                <w:sz w:val="18"/>
              </w:rPr>
              <w:t>60.08%</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FFFFFF"/>
          </w:tcPr>
          <w:p>
            <w:pPr>
              <w:spacing w:before="20" w:after="20"/>
              <w:jc w:val="left"/>
            </w:pPr>
            <w:r>
              <w:rPr>
                <w:rFonts w:ascii="Calibri" w:hAnsi="Calibri"/>
                <w:b w:val="0"/>
                <w:i w:val="0"/>
                <w:sz w:val="18"/>
              </w:rPr>
              <w:t>Code Similarity %</w:t>
            </w:r>
          </w:p>
        </w:tc>
        <w:tc>
          <w:tcPr>
            <w:tcW w:type="dxa" w:w="2422"/>
            <w:shd w:val="clear" w:color="auto" w:fill="FFFFFF"/>
          </w:tcPr>
          <w:p>
            <w:pPr>
              <w:spacing w:before="20" w:after="20"/>
              <w:jc w:val="center"/>
            </w:pPr>
            <w:r>
              <w:rPr>
                <w:rFonts w:ascii="Calibri" w:hAnsi="Calibri"/>
                <w:b w:val="0"/>
                <w:i w:val="0"/>
                <w:sz w:val="18"/>
              </w:rPr>
              <w:t>9.34%</w:t>
            </w:r>
          </w:p>
        </w:tc>
        <w:tc>
          <w:tcPr>
            <w:tcW w:type="dxa" w:w="2422"/>
            <w:shd w:val="clear" w:color="auto" w:fill="FFFFFF"/>
          </w:tcPr>
          <w:p>
            <w:pPr>
              <w:spacing w:before="20" w:after="20"/>
              <w:jc w:val="left"/>
            </w:pPr>
            <w:r>
              <w:rPr>
                <w:rFonts w:ascii="Calibri" w:hAnsi="Calibri"/>
                <w:b w:val="0"/>
                <w:i w:val="0"/>
                <w:sz w:val="18"/>
              </w:rPr>
              <w:t>Higher is better (informational)</w:t>
            </w:r>
          </w:p>
        </w:tc>
        <w:tc>
          <w:tcPr>
            <w:tcW w:type="dxa" w:w="2422"/>
            <w:shd w:val="clear" w:color="auto" w:fill="FFFFFF"/>
          </w:tcPr>
          <w:p>
            <w:pPr>
              <w:spacing w:before="20" w:after="20"/>
              <w:jc w:val="center"/>
            </w:pPr>
            <w:r>
              <w:rPr>
                <w:rFonts w:ascii="Calibri" w:hAnsi="Calibri"/>
                <w:b/>
                <w:i w:val="0"/>
                <w:color w:val="404040"/>
                <w:sz w:val="18"/>
              </w:rPr>
              <w:t>~</w:t>
            </w:r>
          </w:p>
        </w:tc>
      </w:tr>
      <w:tr>
        <w:tc>
          <w:tcPr>
            <w:tcW w:type="dxa" w:w="2422"/>
            <w:shd w:val="clear" w:color="auto" w:fill="BDD7EE"/>
          </w:tcPr>
          <w:p>
            <w:pPr>
              <w:spacing w:before="20" w:after="20"/>
              <w:jc w:val="left"/>
            </w:pPr>
            <w:r>
              <w:rPr>
                <w:rFonts w:ascii="Calibri" w:hAnsi="Calibri"/>
                <w:b w:val="0"/>
                <w:i w:val="0"/>
                <w:sz w:val="18"/>
              </w:rPr>
              <w:t>Composite Score /100</w:t>
            </w:r>
          </w:p>
        </w:tc>
        <w:tc>
          <w:tcPr>
            <w:tcW w:type="dxa" w:w="2422"/>
            <w:shd w:val="clear" w:color="auto" w:fill="BDD7EE"/>
          </w:tcPr>
          <w:p>
            <w:pPr>
              <w:spacing w:before="20" w:after="20"/>
              <w:jc w:val="center"/>
            </w:pPr>
            <w:r>
              <w:rPr>
                <w:rFonts w:ascii="Calibri" w:hAnsi="Calibri"/>
                <w:b w:val="0"/>
                <w:i w:val="0"/>
                <w:sz w:val="18"/>
              </w:rPr>
              <w:t>93.81</w:t>
            </w:r>
          </w:p>
        </w:tc>
        <w:tc>
          <w:tcPr>
            <w:tcW w:type="dxa" w:w="2422"/>
            <w:shd w:val="clear" w:color="auto" w:fill="BDD7EE"/>
          </w:tcPr>
          <w:p>
            <w:pPr>
              <w:spacing w:before="20" w:after="20"/>
              <w:jc w:val="left"/>
            </w:pPr>
            <w:r>
              <w:rPr>
                <w:rFonts w:ascii="Calibri" w:hAnsi="Calibri"/>
                <w:b w:val="0"/>
                <w:i w:val="0"/>
                <w:sz w:val="18"/>
              </w:rPr>
              <w:t>Higher is better</w:t>
            </w:r>
          </w:p>
        </w:tc>
        <w:tc>
          <w:tcPr>
            <w:tcW w:type="dxa" w:w="2422"/>
            <w:shd w:val="clear" w:color="auto" w:fill="BDD7EE"/>
          </w:tcPr>
          <w:p>
            <w:pPr>
              <w:spacing w:before="20" w:after="20"/>
              <w:jc w:val="center"/>
            </w:pPr>
            <w:r>
              <w:rPr>
                <w:rFonts w:ascii="Calibri" w:hAnsi="Calibri"/>
                <w:b/>
                <w:i w:val="0"/>
                <w:color w:val="70AD47"/>
                <w:sz w:val="18"/>
              </w:rPr>
              <w:t>✓</w:t>
            </w:r>
          </w:p>
        </w:tc>
      </w:tr>
      <w:tr>
        <w:tc>
          <w:tcPr>
            <w:tcW w:type="dxa" w:w="2422"/>
            <w:shd w:val="clear" w:color="auto" w:fill="BDD7EE"/>
          </w:tcPr>
          <w:p>
            <w:pPr>
              <w:spacing w:before="20" w:after="20"/>
              <w:jc w:val="left"/>
            </w:pPr>
            <w:r>
              <w:rPr>
                <w:rFonts w:ascii="Calibri" w:hAnsi="Calibri"/>
                <w:b w:val="0"/>
                <w:i w:val="0"/>
                <w:sz w:val="18"/>
              </w:rPr>
              <w:t>Final Rank</w:t>
            </w:r>
          </w:p>
        </w:tc>
        <w:tc>
          <w:tcPr>
            <w:tcW w:type="dxa" w:w="2422"/>
            <w:shd w:val="clear" w:color="auto" w:fill="BDD7EE"/>
          </w:tcPr>
          <w:p>
            <w:pPr>
              <w:spacing w:before="20" w:after="20"/>
              <w:jc w:val="center"/>
            </w:pPr>
            <w:r>
              <w:rPr>
                <w:rFonts w:ascii="Calibri" w:hAnsi="Calibri"/>
                <w:b w:val="0"/>
                <w:i w:val="0"/>
                <w:sz w:val="18"/>
              </w:rPr>
              <w:t>2 / 9</w:t>
            </w:r>
          </w:p>
        </w:tc>
        <w:tc>
          <w:tcPr>
            <w:tcW w:type="dxa" w:w="2422"/>
            <w:shd w:val="clear" w:color="auto" w:fill="BDD7EE"/>
          </w:tcPr>
          <w:p>
            <w:pPr>
              <w:spacing w:before="20" w:after="20"/>
              <w:jc w:val="left"/>
            </w:pPr>
            <w:r>
              <w:rPr>
                <w:rFonts w:ascii="Calibri" w:hAnsi="Calibri"/>
                <w:b w:val="0"/>
                <w:i w:val="0"/>
                <w:sz w:val="18"/>
              </w:rPr>
              <w:t>Lower is better</w:t>
            </w:r>
          </w:p>
        </w:tc>
        <w:tc>
          <w:tcPr>
            <w:tcW w:type="dxa" w:w="2422"/>
            <w:shd w:val="clear" w:color="auto" w:fill="BDD7EE"/>
          </w:tcPr>
          <w:p>
            <w:pPr>
              <w:spacing w:before="20" w:after="20"/>
              <w:jc w:val="center"/>
            </w:pPr>
            <w:r>
              <w:rPr>
                <w:rFonts w:ascii="Calibri" w:hAnsi="Calibri"/>
                <w:b/>
                <w:i w:val="0"/>
                <w:color w:val="70AD47"/>
                <w:sz w:val="18"/>
              </w:rPr>
              <w:t>✓</w:t>
            </w:r>
          </w:p>
        </w:tc>
      </w:tr>
    </w:tbl>
    <w:p>
      <w:r>
        <w:br w:type="page"/>
      </w:r>
    </w:p>
    <w:p>
      <w:pPr>
        <w:pStyle w:val="Heading2"/>
      </w:pPr>
      <w:r>
        <w:rPr>
          <w:color w:val="1F3564"/>
        </w:rPr>
        <w:t>E09 – Validation Feedback and Self-Repair</w:t>
      </w:r>
    </w:p>
    <w:p>
      <w:pPr>
        <w:spacing w:before="120" w:after="40"/>
      </w:pPr>
      <w:r>
        <w:rPr>
          <w:rFonts w:ascii="Calibri" w:hAnsi="Calibri"/>
          <w:b/>
          <w:color w:val="2E74B5"/>
          <w:sz w:val="21"/>
        </w:rPr>
        <w:t>Goal</w:t>
      </w:r>
    </w:p>
    <w:p>
      <w:pPr>
        <w:spacing w:before="40" w:after="40"/>
      </w:pPr>
      <w:r>
        <w:rPr>
          <w:rFonts w:ascii="Calibri" w:hAnsi="Calibri"/>
          <w:b w:val="0"/>
          <w:i w:val="0"/>
          <w:sz w:val="21"/>
        </w:rPr>
        <w:t>This experiment evaluates whether validation-driven feedback can automatically improve the quality of generated Terraform code. The LLM first generates Terraform code, which is then evaluated offline. Detected errors, warnings, and security issues are fed back to the LLM for one correction attempt, and the repaired code is re-evaluated using the same metrics.</w:t>
      </w:r>
    </w:p>
    <w:p>
      <w:pPr>
        <w:spacing w:before="40" w:after="40"/>
      </w:pPr>
      <w:r>
        <w:rPr>
          <w:rFonts w:ascii="Calibri" w:hAnsi="Calibri"/>
          <w:b/>
          <w:i w:val="0"/>
          <w:sz w:val="20"/>
        </w:rPr>
        <w:t>Primary Evaluation Focus: Improvement Between Initial and Repaired, Security Reduction, Best-Practice Score</w:t>
      </w:r>
    </w:p>
    <w:p>
      <w:pPr>
        <w:spacing w:before="120" w:after="40"/>
      </w:pPr>
      <w:r>
        <w:rPr>
          <w:rFonts w:ascii="Calibri" w:hAnsi="Calibri"/>
          <w:b/>
          <w:color w:val="2E74B5"/>
          <w:sz w:val="21"/>
        </w:rPr>
        <w:t>Implementation Steps</w:t>
      </w:r>
    </w:p>
    <w:p>
      <w:pPr>
        <w:pStyle w:val="ListBullet"/>
        <w:spacing w:before="20" w:after="20"/>
      </w:pPr>
      <w:r>
        <w:rPr>
          <w:rFonts w:ascii="Calibri" w:hAnsi="Calibri"/>
          <w:sz w:val="20"/>
        </w:rPr>
        <w:t>Each test prompt was used to generate initial Terraform code using LLaMA 3.3 70B with security-aware instructions (inheriting from E08).</w:t>
      </w:r>
    </w:p>
    <w:p>
      <w:pPr>
        <w:pStyle w:val="ListBullet"/>
        <w:spacing w:before="20" w:after="20"/>
      </w:pPr>
      <w:r>
        <w:rPr>
          <w:rFonts w:ascii="Calibri" w:hAnsi="Calibri"/>
          <w:sz w:val="20"/>
        </w:rPr>
        <w:t>The initial code was evaluated using all ten offline metrics, capturing syntax errors, validation warnings, security issues, and best-practice violations.</w:t>
      </w:r>
    </w:p>
    <w:p>
      <w:pPr>
        <w:pStyle w:val="ListBullet"/>
        <w:spacing w:before="20" w:after="20"/>
      </w:pPr>
      <w:r>
        <w:rPr>
          <w:rFonts w:ascii="Calibri" w:hAnsi="Calibri"/>
          <w:sz w:val="20"/>
        </w:rPr>
        <w:t>Detected errors and warnings were formatted into a structured feedback prompt: 'The following issues were found — please correct them and regenerate the Terraform code.'</w:t>
      </w:r>
    </w:p>
    <w:p>
      <w:pPr>
        <w:pStyle w:val="ListBullet"/>
        <w:spacing w:before="20" w:after="20"/>
      </w:pPr>
      <w:r>
        <w:rPr>
          <w:rFonts w:ascii="Calibri" w:hAnsi="Calibri"/>
          <w:sz w:val="20"/>
        </w:rPr>
        <w:t>The feedback prompt was sent back to LLaMA 3.3 70B for one repair attempt.</w:t>
      </w:r>
    </w:p>
    <w:p>
      <w:pPr>
        <w:pStyle w:val="ListBullet"/>
        <w:spacing w:before="20" w:after="20"/>
      </w:pPr>
      <w:r>
        <w:rPr>
          <w:rFonts w:ascii="Calibri" w:hAnsi="Calibri"/>
          <w:sz w:val="20"/>
        </w:rPr>
        <w:t>The repaired code was re-evaluated using the same ten offline metrics.</w:t>
      </w:r>
    </w:p>
    <w:p>
      <w:pPr>
        <w:pStyle w:val="ListBullet"/>
        <w:spacing w:before="20" w:after="20"/>
      </w:pPr>
      <w:r>
        <w:rPr>
          <w:rFonts w:ascii="Calibri" w:hAnsi="Calibri"/>
          <w:sz w:val="20"/>
        </w:rPr>
        <w:t>Both initial and repaired metrics were stored in E09_ValidationRepair_results.json for before-and-after comparison.</w:t>
      </w:r>
    </w:p>
    <w:p>
      <w:pPr>
        <w:spacing w:before="120" w:after="40"/>
      </w:pPr>
      <w:r>
        <w:rPr>
          <w:rFonts w:ascii="Calibri" w:hAnsi="Calibri"/>
          <w:b/>
          <w:color w:val="2E74B5"/>
          <w:sz w:val="21"/>
        </w:rPr>
        <w:t>Results Discussion</w:t>
      </w:r>
    </w:p>
    <w:p>
      <w:pPr>
        <w:pStyle w:val="ListBullet"/>
        <w:spacing w:before="20" w:after="20"/>
      </w:pPr>
      <w:r>
        <w:rPr>
          <w:rFonts w:ascii="Calibri" w:hAnsi="Calibri"/>
          <w:b/>
          <w:sz w:val="20"/>
        </w:rPr>
        <w:t xml:space="preserve">HCL Syntax Validity (100%): </w:t>
      </w:r>
      <w:r>
        <w:rPr>
          <w:rFonts w:ascii="Calibri" w:hAnsi="Calibri"/>
          <w:sz w:val="20"/>
        </w:rPr>
        <w:t>Perfect syntax validity in both initial and repaired versions — the model already generates valid HCL, and repair confirms this.</w:t>
      </w:r>
    </w:p>
    <w:p>
      <w:pPr>
        <w:pStyle w:val="ListBullet"/>
        <w:spacing w:before="20" w:after="20"/>
      </w:pPr>
      <w:r>
        <w:rPr>
          <w:rFonts w:ascii="Calibri" w:hAnsi="Calibri"/>
          <w:b/>
          <w:sz w:val="20"/>
        </w:rPr>
        <w:t xml:space="preserve">Terraform Format Pass (100%): </w:t>
      </w:r>
      <w:r>
        <w:rPr>
          <w:rFonts w:ascii="Calibri" w:hAnsi="Calibri"/>
          <w:sz w:val="20"/>
        </w:rPr>
        <w:t>Perfect format pass in both versions.</w:t>
      </w:r>
    </w:p>
    <w:p>
      <w:pPr>
        <w:pStyle w:val="ListBullet"/>
        <w:spacing w:before="20" w:after="20"/>
      </w:pPr>
      <w:r>
        <w:rPr>
          <w:rFonts w:ascii="Calibri" w:hAnsi="Calibri"/>
          <w:b/>
          <w:sz w:val="20"/>
        </w:rPr>
        <w:t xml:space="preserve">Terraform Validation Pass (100%): </w:t>
      </w:r>
      <w:r>
        <w:rPr>
          <w:rFonts w:ascii="Calibri" w:hAnsi="Calibri"/>
          <w:sz w:val="20"/>
        </w:rPr>
        <w:t>Perfect validation in both versions, confirming that even initial code at this stage is well-formed.</w:t>
      </w:r>
    </w:p>
    <w:p>
      <w:pPr>
        <w:pStyle w:val="ListBullet"/>
        <w:spacing w:before="20" w:after="20"/>
      </w:pPr>
      <w:r>
        <w:rPr>
          <w:rFonts w:ascii="Calibri" w:hAnsi="Calibri"/>
          <w:b/>
          <w:sz w:val="20"/>
        </w:rPr>
        <w:t xml:space="preserve">Provider Correctness (100%): </w:t>
      </w:r>
      <w:r>
        <w:rPr>
          <w:rFonts w:ascii="Calibri" w:hAnsi="Calibri"/>
          <w:sz w:val="20"/>
        </w:rPr>
        <w:t>Perfect provider correctness in both versions.</w:t>
      </w:r>
    </w:p>
    <w:p>
      <w:pPr>
        <w:pStyle w:val="ListBullet"/>
        <w:spacing w:before="20" w:after="20"/>
      </w:pPr>
      <w:r>
        <w:rPr>
          <w:rFonts w:ascii="Calibri" w:hAnsi="Calibri"/>
          <w:b/>
          <w:sz w:val="20"/>
        </w:rPr>
        <w:t xml:space="preserve">Resource Coverage (89.33% repaired vs 89.0% initial): </w:t>
      </w:r>
      <w:r>
        <w:rPr>
          <w:rFonts w:ascii="Calibri" w:hAnsi="Calibri"/>
          <w:sz w:val="20"/>
        </w:rPr>
        <w:t>Minimal improvement in resource coverage — validation feedback focuses on errors rather than resource completeness.</w:t>
      </w:r>
    </w:p>
    <w:p>
      <w:pPr>
        <w:pStyle w:val="ListBullet"/>
        <w:spacing w:before="20" w:after="20"/>
      </w:pPr>
      <w:r>
        <w:rPr>
          <w:rFonts w:ascii="Calibri" w:hAnsi="Calibri"/>
          <w:b/>
          <w:sz w:val="20"/>
        </w:rPr>
        <w:t xml:space="preserve">Dependency Score (99.87% repaired vs 97.47% initial): </w:t>
      </w:r>
      <w:r>
        <w:rPr>
          <w:rFonts w:ascii="Calibri" w:hAnsi="Calibri"/>
          <w:sz w:val="20"/>
        </w:rPr>
        <w:t>Largest dependency improvement across all experiments. Validation feedback explicitly flags disconnected resources, and the model corrects them during repair.</w:t>
      </w:r>
    </w:p>
    <w:p>
      <w:pPr>
        <w:pStyle w:val="ListBullet"/>
        <w:spacing w:before="20" w:after="20"/>
      </w:pPr>
      <w:r>
        <w:rPr>
          <w:rFonts w:ascii="Calibri" w:hAnsi="Calibri"/>
          <w:b/>
          <w:sz w:val="20"/>
        </w:rPr>
        <w:t xml:space="preserve">Security Issues (0.12 repaired vs 0.22 initial): </w:t>
      </w:r>
      <w:r>
        <w:rPr>
          <w:rFonts w:ascii="Calibri" w:hAnsi="Calibri"/>
          <w:sz w:val="20"/>
        </w:rPr>
        <w:t>Significant reduction — validation feedback identifies security warnings and the model removes or mitigates them in the repaired version.</w:t>
      </w:r>
    </w:p>
    <w:p>
      <w:pPr>
        <w:pStyle w:val="ListBullet"/>
        <w:spacing w:before="20" w:after="20"/>
      </w:pPr>
      <w:r>
        <w:rPr>
          <w:rFonts w:ascii="Calibri" w:hAnsi="Calibri"/>
          <w:b/>
          <w:sz w:val="20"/>
        </w:rPr>
        <w:t xml:space="preserve">Hardcoded Secrets (0.0 repaired vs 0.0033 initial): </w:t>
      </w:r>
      <w:r>
        <w:rPr>
          <w:rFonts w:ascii="Calibri" w:hAnsi="Calibri"/>
          <w:sz w:val="20"/>
        </w:rPr>
        <w:t>Complete elimination of hardcoded secrets after repair.</w:t>
      </w:r>
    </w:p>
    <w:p>
      <w:pPr>
        <w:pStyle w:val="ListBullet"/>
        <w:spacing w:before="20" w:after="20"/>
      </w:pPr>
      <w:r>
        <w:rPr>
          <w:rFonts w:ascii="Calibri" w:hAnsi="Calibri"/>
          <w:b/>
          <w:sz w:val="20"/>
        </w:rPr>
        <w:t xml:space="preserve">Best-Practice Score (70.75% repaired vs 43.63% initial): </w:t>
      </w:r>
      <w:r>
        <w:rPr>
          <w:rFonts w:ascii="Calibri" w:hAnsi="Calibri"/>
          <w:sz w:val="20"/>
        </w:rPr>
        <w:t>Massive improvement — repair feedback drives variable usage, output definitions, and tag application to an unprecedented level across all nine experiments.</w:t>
      </w:r>
    </w:p>
    <w:p>
      <w:pPr>
        <w:pStyle w:val="ListBullet"/>
        <w:spacing w:before="20" w:after="20"/>
      </w:pPr>
      <w:r>
        <w:rPr>
          <w:rFonts w:ascii="Calibri" w:hAnsi="Calibri"/>
          <w:b/>
          <w:sz w:val="20"/>
        </w:rPr>
        <w:t xml:space="preserve">Final Weighted Score (95.34 / Rank 1): </w:t>
      </w:r>
      <w:r>
        <w:rPr>
          <w:rFonts w:ascii="Calibri" w:hAnsi="Calibri"/>
          <w:sz w:val="20"/>
        </w:rPr>
        <w:t>Best result across all nine experiments. The combination of security-aware initial generation and validation-driven repair produces the most reliable and highest-quality Terraform code.</w:t>
      </w:r>
    </w:p>
    <w:p>
      <w:pPr>
        <w:spacing w:before="120" w:after="40"/>
      </w:pPr>
      <w:r>
        <w:rPr>
          <w:rFonts w:ascii="Calibri" w:hAnsi="Calibri"/>
          <w:b/>
          <w:color w:val="2E74B5"/>
          <w:sz w:val="21"/>
        </w:rPr>
        <w:t>Advantages</w:t>
      </w:r>
    </w:p>
    <w:p>
      <w:pPr>
        <w:pStyle w:val="ListBullet"/>
        <w:spacing w:before="20" w:after="20"/>
      </w:pPr>
      <w:r>
        <w:rPr>
          <w:rFonts w:ascii="Calibri" w:hAnsi="Calibri"/>
          <w:sz w:val="20"/>
        </w:rPr>
        <w:t>Highest composite score (95.34) across all nine experiments — validation feedback produces the most reliable Terraform code.</w:t>
      </w:r>
    </w:p>
    <w:p>
      <w:pPr>
        <w:pStyle w:val="ListBullet"/>
        <w:spacing w:before="20" w:after="20"/>
      </w:pPr>
      <w:r>
        <w:rPr>
          <w:rFonts w:ascii="Calibri" w:hAnsi="Calibri"/>
          <w:sz w:val="20"/>
        </w:rPr>
        <w:t>Dramatic best-practice improvement from repair (43.63% → 70.75%), the largest single-step improvement across the entire study.</w:t>
      </w:r>
    </w:p>
    <w:p>
      <w:pPr>
        <w:pStyle w:val="ListBullet"/>
        <w:spacing w:before="20" w:after="20"/>
      </w:pPr>
      <w:r>
        <w:rPr>
          <w:rFonts w:ascii="Calibri" w:hAnsi="Calibri"/>
          <w:sz w:val="20"/>
        </w:rPr>
        <w:t>Near-perfect dependency correctness (99.87%) — validation feedback is especially effective at identifying and correcting disconnected resources.</w:t>
      </w:r>
    </w:p>
    <w:p>
      <w:pPr>
        <w:pStyle w:val="ListBullet"/>
        <w:spacing w:before="20" w:after="20"/>
      </w:pPr>
      <w:r>
        <w:rPr>
          <w:rFonts w:ascii="Calibri" w:hAnsi="Calibri"/>
          <w:sz w:val="20"/>
        </w:rPr>
        <w:t>Significant security issue reduction (0.22 → 0.12) — structured feedback enables targeted removal of unsafe configurations.</w:t>
      </w:r>
    </w:p>
    <w:p>
      <w:pPr>
        <w:spacing w:before="120" w:after="40"/>
      </w:pPr>
      <w:r>
        <w:rPr>
          <w:rFonts w:ascii="Calibri" w:hAnsi="Calibri"/>
          <w:b/>
          <w:color w:val="2E74B5"/>
          <w:sz w:val="21"/>
        </w:rPr>
        <w:t>Disadvantages</w:t>
      </w:r>
    </w:p>
    <w:p>
      <w:pPr>
        <w:pStyle w:val="ListBullet"/>
        <w:spacing w:before="20" w:after="20"/>
      </w:pPr>
      <w:r>
        <w:rPr>
          <w:rFonts w:ascii="Calibri" w:hAnsi="Calibri"/>
          <w:sz w:val="20"/>
        </w:rPr>
        <w:t>Doubles the number of LLM API calls per sample, significantly increasing inference cost and runtime.</w:t>
      </w:r>
    </w:p>
    <w:p>
      <w:pPr>
        <w:pStyle w:val="ListBullet"/>
        <w:spacing w:before="20" w:after="20"/>
      </w:pPr>
      <w:r>
        <w:rPr>
          <w:rFonts w:ascii="Calibri" w:hAnsi="Calibri"/>
          <w:sz w:val="20"/>
        </w:rPr>
        <w:t>Code similarity slightly decreases after repair as the model moves away from typical open-source patterns toward structurally correct but less representative code.</w:t>
      </w:r>
    </w:p>
    <w:p>
      <w:pPr>
        <w:pStyle w:val="ListBullet"/>
        <w:spacing w:before="20" w:after="20"/>
      </w:pPr>
      <w:r>
        <w:rPr>
          <w:rFonts w:ascii="Calibri" w:hAnsi="Calibri"/>
          <w:sz w:val="20"/>
        </w:rPr>
        <w:t>Resource coverage improvement is minimal (89.0% → 89.33%) — validation feedback does not identify missing resources, only errors in existing ones.</w:t>
      </w:r>
    </w:p>
    <w:p>
      <w:pPr>
        <w:spacing w:before="120" w:after="40"/>
      </w:pPr>
      <w:r>
        <w:rPr>
          <w:rFonts w:ascii="Calibri" w:hAnsi="Calibri"/>
          <w:b/>
          <w:color w:val="2E74B5"/>
          <w:sz w:val="21"/>
        </w:rPr>
        <w:t>Main Results</w:t>
      </w:r>
    </w:p>
    <w:p>
      <w:r>
        <w:rPr>
          <w:i/>
          <w:sz w:val="18"/>
        </w:rPr>
        <w:t>Table shows Initial (before repair) vs. Repaired (after validation feedback) metrics.</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val="clear" w:color="auto" w:fill="1F3564"/>
          </w:tcPr>
          <w:p>
            <w:pPr>
              <w:spacing w:before="20" w:after="20"/>
              <w:jc w:val="center"/>
            </w:pPr>
            <w:r>
              <w:rPr>
                <w:rFonts w:ascii="Calibri" w:hAnsi="Calibri"/>
                <w:b/>
                <w:i w:val="0"/>
                <w:color w:val="FFFFFF"/>
                <w:sz w:val="18"/>
              </w:rPr>
              <w:t>Metric</w:t>
            </w:r>
          </w:p>
        </w:tc>
        <w:tc>
          <w:tcPr>
            <w:tcW w:type="dxa" w:w="1938"/>
            <w:shd w:val="clear" w:color="auto" w:fill="1F3564"/>
          </w:tcPr>
          <w:p>
            <w:pPr>
              <w:spacing w:before="20" w:after="20"/>
              <w:jc w:val="center"/>
            </w:pPr>
            <w:r>
              <w:rPr>
                <w:rFonts w:ascii="Calibri" w:hAnsi="Calibri"/>
                <w:b/>
                <w:i w:val="0"/>
                <w:color w:val="FFFFFF"/>
                <w:sz w:val="18"/>
              </w:rPr>
              <w:t>Initial</w:t>
            </w:r>
          </w:p>
        </w:tc>
        <w:tc>
          <w:tcPr>
            <w:tcW w:type="dxa" w:w="1938"/>
            <w:shd w:val="clear" w:color="auto" w:fill="1F3564"/>
          </w:tcPr>
          <w:p>
            <w:pPr>
              <w:spacing w:before="20" w:after="20"/>
              <w:jc w:val="center"/>
            </w:pPr>
            <w:r>
              <w:rPr>
                <w:rFonts w:ascii="Calibri" w:hAnsi="Calibri"/>
                <w:b/>
                <w:i w:val="0"/>
                <w:color w:val="FFFFFF"/>
                <w:sz w:val="18"/>
              </w:rPr>
              <w:t>Repaired</w:t>
            </w:r>
          </w:p>
        </w:tc>
        <w:tc>
          <w:tcPr>
            <w:tcW w:type="dxa" w:w="1938"/>
            <w:shd w:val="clear" w:color="auto" w:fill="1F3564"/>
          </w:tcPr>
          <w:p>
            <w:pPr>
              <w:spacing w:before="20" w:after="20"/>
              <w:jc w:val="center"/>
            </w:pPr>
            <w:r>
              <w:rPr>
                <w:rFonts w:ascii="Calibri" w:hAnsi="Calibri"/>
                <w:b/>
                <w:i w:val="0"/>
                <w:color w:val="FFFFFF"/>
                <w:sz w:val="18"/>
              </w:rPr>
              <w:t>Change</w:t>
            </w:r>
          </w:p>
        </w:tc>
        <w:tc>
          <w:tcPr>
            <w:tcW w:type="dxa" w:w="1938"/>
            <w:shd w:val="clear" w:color="auto" w:fill="1F3564"/>
          </w:tcPr>
          <w:p>
            <w:pPr>
              <w:spacing w:before="20" w:after="20"/>
              <w:jc w:val="center"/>
            </w:pPr>
            <w:r>
              <w:rPr>
                <w:rFonts w:ascii="Calibri" w:hAnsi="Calibri"/>
                <w:b/>
                <w:i w:val="0"/>
                <w:color w:val="FFFFFF"/>
                <w:sz w:val="18"/>
              </w:rPr>
              <w:t>Status</w:t>
            </w:r>
          </w:p>
        </w:tc>
      </w:tr>
      <w:tr>
        <w:tc>
          <w:tcPr>
            <w:tcW w:type="dxa" w:w="1938"/>
            <w:shd w:val="clear" w:color="auto" w:fill="F2F2F2"/>
          </w:tcPr>
          <w:p>
            <w:pPr>
              <w:spacing w:before="20" w:after="20"/>
              <w:jc w:val="left"/>
            </w:pPr>
            <w:r>
              <w:rPr>
                <w:rFonts w:ascii="Calibri" w:hAnsi="Calibri"/>
                <w:b w:val="0"/>
                <w:i w:val="0"/>
                <w:sz w:val="18"/>
              </w:rPr>
              <w:t>HCL Syntax Validity %</w:t>
            </w:r>
          </w:p>
        </w:tc>
        <w:tc>
          <w:tcPr>
            <w:tcW w:type="dxa" w:w="1938"/>
            <w:shd w:val="clear" w:color="auto" w:fill="F2F2F2"/>
          </w:tcPr>
          <w:p>
            <w:pPr>
              <w:spacing w:before="20" w:after="20"/>
              <w:jc w:val="center"/>
            </w:pPr>
            <w:r>
              <w:rPr>
                <w:rFonts w:ascii="Calibri" w:hAnsi="Calibri"/>
                <w:b w:val="0"/>
                <w:i w:val="0"/>
                <w:sz w:val="18"/>
              </w:rPr>
              <w:t>100.00%</w:t>
            </w:r>
          </w:p>
        </w:tc>
        <w:tc>
          <w:tcPr>
            <w:tcW w:type="dxa" w:w="1938"/>
            <w:shd w:val="clear" w:color="auto" w:fill="F2F2F2"/>
          </w:tcPr>
          <w:p>
            <w:pPr>
              <w:spacing w:before="20" w:after="20"/>
              <w:jc w:val="center"/>
            </w:pPr>
            <w:r>
              <w:rPr>
                <w:rFonts w:ascii="Calibri" w:hAnsi="Calibri"/>
                <w:b w:val="0"/>
                <w:i w:val="0"/>
                <w:sz w:val="18"/>
              </w:rPr>
              <w:t>100.00%</w:t>
            </w:r>
          </w:p>
        </w:tc>
        <w:tc>
          <w:tcPr>
            <w:tcW w:type="dxa" w:w="1938"/>
            <w:shd w:val="clear" w:color="auto" w:fill="F2F2F2"/>
          </w:tcPr>
          <w:p>
            <w:pPr>
              <w:spacing w:before="20" w:after="20"/>
              <w:jc w:val="center"/>
            </w:pPr>
            <w:r>
              <w:rPr>
                <w:rFonts w:ascii="Calibri" w:hAnsi="Calibri"/>
                <w:b w:val="0"/>
                <w:i w:val="0"/>
                <w:sz w:val="18"/>
              </w:rPr>
              <w:t>0.00%</w:t>
            </w:r>
          </w:p>
        </w:tc>
        <w:tc>
          <w:tcPr>
            <w:tcW w:type="dxa" w:w="1938"/>
            <w:shd w:val="clear" w:color="auto" w:fill="F2F2F2"/>
          </w:tcPr>
          <w:p>
            <w:pPr>
              <w:spacing w:before="20" w:after="20"/>
              <w:jc w:val="center"/>
            </w:pPr>
            <w:r>
              <w:rPr>
                <w:rFonts w:ascii="Calibri" w:hAnsi="Calibri"/>
                <w:b w:val="0"/>
                <w:i w:val="0"/>
                <w:sz w:val="18"/>
              </w:rPr>
              <w:t>✓</w:t>
            </w:r>
          </w:p>
        </w:tc>
      </w:tr>
      <w:tr>
        <w:tc>
          <w:tcPr>
            <w:tcW w:type="dxa" w:w="1938"/>
            <w:shd w:val="clear" w:color="auto" w:fill="FFFFFF"/>
          </w:tcPr>
          <w:p>
            <w:pPr>
              <w:spacing w:before="20" w:after="20"/>
              <w:jc w:val="left"/>
            </w:pPr>
            <w:r>
              <w:rPr>
                <w:rFonts w:ascii="Calibri" w:hAnsi="Calibri"/>
                <w:b w:val="0"/>
                <w:i w:val="0"/>
                <w:sz w:val="18"/>
              </w:rPr>
              <w:t>Terraform Format Pass %</w:t>
            </w:r>
          </w:p>
        </w:tc>
        <w:tc>
          <w:tcPr>
            <w:tcW w:type="dxa" w:w="1938"/>
            <w:shd w:val="clear" w:color="auto" w:fill="FFFFFF"/>
          </w:tcPr>
          <w:p>
            <w:pPr>
              <w:spacing w:before="20" w:after="20"/>
              <w:jc w:val="center"/>
            </w:pPr>
            <w:r>
              <w:rPr>
                <w:rFonts w:ascii="Calibri" w:hAnsi="Calibri"/>
                <w:b w:val="0"/>
                <w:i w:val="0"/>
                <w:sz w:val="18"/>
              </w:rPr>
              <w:t>100.00%</w:t>
            </w:r>
          </w:p>
        </w:tc>
        <w:tc>
          <w:tcPr>
            <w:tcW w:type="dxa" w:w="1938"/>
            <w:shd w:val="clear" w:color="auto" w:fill="FFFFFF"/>
          </w:tcPr>
          <w:p>
            <w:pPr>
              <w:spacing w:before="20" w:after="20"/>
              <w:jc w:val="center"/>
            </w:pPr>
            <w:r>
              <w:rPr>
                <w:rFonts w:ascii="Calibri" w:hAnsi="Calibri"/>
                <w:b w:val="0"/>
                <w:i w:val="0"/>
                <w:sz w:val="18"/>
              </w:rPr>
              <w:t>100.00%</w:t>
            </w:r>
          </w:p>
        </w:tc>
        <w:tc>
          <w:tcPr>
            <w:tcW w:type="dxa" w:w="1938"/>
            <w:shd w:val="clear" w:color="auto" w:fill="FFFFFF"/>
          </w:tcPr>
          <w:p>
            <w:pPr>
              <w:spacing w:before="20" w:after="20"/>
              <w:jc w:val="center"/>
            </w:pPr>
            <w:r>
              <w:rPr>
                <w:rFonts w:ascii="Calibri" w:hAnsi="Calibri"/>
                <w:b w:val="0"/>
                <w:i w:val="0"/>
                <w:sz w:val="18"/>
              </w:rPr>
              <w:t>0.00%</w:t>
            </w:r>
          </w:p>
        </w:tc>
        <w:tc>
          <w:tcPr>
            <w:tcW w:type="dxa" w:w="1938"/>
            <w:shd w:val="clear" w:color="auto" w:fill="FFFFFF"/>
          </w:tcPr>
          <w:p>
            <w:pPr>
              <w:spacing w:before="20" w:after="20"/>
              <w:jc w:val="center"/>
            </w:pPr>
            <w:r>
              <w:rPr>
                <w:rFonts w:ascii="Calibri" w:hAnsi="Calibri"/>
                <w:b w:val="0"/>
                <w:i w:val="0"/>
                <w:sz w:val="18"/>
              </w:rPr>
              <w:t>✓</w:t>
            </w:r>
          </w:p>
        </w:tc>
      </w:tr>
      <w:tr>
        <w:tc>
          <w:tcPr>
            <w:tcW w:type="dxa" w:w="1938"/>
            <w:shd w:val="clear" w:color="auto" w:fill="F2F2F2"/>
          </w:tcPr>
          <w:p>
            <w:pPr>
              <w:spacing w:before="20" w:after="20"/>
              <w:jc w:val="left"/>
            </w:pPr>
            <w:r>
              <w:rPr>
                <w:rFonts w:ascii="Calibri" w:hAnsi="Calibri"/>
                <w:b w:val="0"/>
                <w:i w:val="0"/>
                <w:sz w:val="18"/>
              </w:rPr>
              <w:t>Terraform Validation Pass %</w:t>
            </w:r>
          </w:p>
        </w:tc>
        <w:tc>
          <w:tcPr>
            <w:tcW w:type="dxa" w:w="1938"/>
            <w:shd w:val="clear" w:color="auto" w:fill="F2F2F2"/>
          </w:tcPr>
          <w:p>
            <w:pPr>
              <w:spacing w:before="20" w:after="20"/>
              <w:jc w:val="center"/>
            </w:pPr>
            <w:r>
              <w:rPr>
                <w:rFonts w:ascii="Calibri" w:hAnsi="Calibri"/>
                <w:b w:val="0"/>
                <w:i w:val="0"/>
                <w:sz w:val="18"/>
              </w:rPr>
              <w:t>100.00%</w:t>
            </w:r>
          </w:p>
        </w:tc>
        <w:tc>
          <w:tcPr>
            <w:tcW w:type="dxa" w:w="1938"/>
            <w:shd w:val="clear" w:color="auto" w:fill="F2F2F2"/>
          </w:tcPr>
          <w:p>
            <w:pPr>
              <w:spacing w:before="20" w:after="20"/>
              <w:jc w:val="center"/>
            </w:pPr>
            <w:r>
              <w:rPr>
                <w:rFonts w:ascii="Calibri" w:hAnsi="Calibri"/>
                <w:b w:val="0"/>
                <w:i w:val="0"/>
                <w:sz w:val="18"/>
              </w:rPr>
              <w:t>100.00%</w:t>
            </w:r>
          </w:p>
        </w:tc>
        <w:tc>
          <w:tcPr>
            <w:tcW w:type="dxa" w:w="1938"/>
            <w:shd w:val="clear" w:color="auto" w:fill="F2F2F2"/>
          </w:tcPr>
          <w:p>
            <w:pPr>
              <w:spacing w:before="20" w:after="20"/>
              <w:jc w:val="center"/>
            </w:pPr>
            <w:r>
              <w:rPr>
                <w:rFonts w:ascii="Calibri" w:hAnsi="Calibri"/>
                <w:b w:val="0"/>
                <w:i w:val="0"/>
                <w:sz w:val="18"/>
              </w:rPr>
              <w:t>0.00%</w:t>
            </w:r>
          </w:p>
        </w:tc>
        <w:tc>
          <w:tcPr>
            <w:tcW w:type="dxa" w:w="1938"/>
            <w:shd w:val="clear" w:color="auto" w:fill="F2F2F2"/>
          </w:tcPr>
          <w:p>
            <w:pPr>
              <w:spacing w:before="20" w:after="20"/>
              <w:jc w:val="center"/>
            </w:pPr>
            <w:r>
              <w:rPr>
                <w:rFonts w:ascii="Calibri" w:hAnsi="Calibri"/>
                <w:b w:val="0"/>
                <w:i w:val="0"/>
                <w:sz w:val="18"/>
              </w:rPr>
              <w:t>✓</w:t>
            </w:r>
          </w:p>
        </w:tc>
      </w:tr>
      <w:tr>
        <w:tc>
          <w:tcPr>
            <w:tcW w:type="dxa" w:w="1938"/>
            <w:shd w:val="clear" w:color="auto" w:fill="FFFFFF"/>
          </w:tcPr>
          <w:p>
            <w:pPr>
              <w:spacing w:before="20" w:after="20"/>
              <w:jc w:val="left"/>
            </w:pPr>
            <w:r>
              <w:rPr>
                <w:rFonts w:ascii="Calibri" w:hAnsi="Calibri"/>
                <w:b w:val="0"/>
                <w:i w:val="0"/>
                <w:sz w:val="18"/>
              </w:rPr>
              <w:t>Provider Correctness %</w:t>
            </w:r>
          </w:p>
        </w:tc>
        <w:tc>
          <w:tcPr>
            <w:tcW w:type="dxa" w:w="1938"/>
            <w:shd w:val="clear" w:color="auto" w:fill="FFFFFF"/>
          </w:tcPr>
          <w:p>
            <w:pPr>
              <w:spacing w:before="20" w:after="20"/>
              <w:jc w:val="center"/>
            </w:pPr>
            <w:r>
              <w:rPr>
                <w:rFonts w:ascii="Calibri" w:hAnsi="Calibri"/>
                <w:b w:val="0"/>
                <w:i w:val="0"/>
                <w:sz w:val="18"/>
              </w:rPr>
              <w:t>100.00%</w:t>
            </w:r>
          </w:p>
        </w:tc>
        <w:tc>
          <w:tcPr>
            <w:tcW w:type="dxa" w:w="1938"/>
            <w:shd w:val="clear" w:color="auto" w:fill="FFFFFF"/>
          </w:tcPr>
          <w:p>
            <w:pPr>
              <w:spacing w:before="20" w:after="20"/>
              <w:jc w:val="center"/>
            </w:pPr>
            <w:r>
              <w:rPr>
                <w:rFonts w:ascii="Calibri" w:hAnsi="Calibri"/>
                <w:b w:val="0"/>
                <w:i w:val="0"/>
                <w:sz w:val="18"/>
              </w:rPr>
              <w:t>100.00%</w:t>
            </w:r>
          </w:p>
        </w:tc>
        <w:tc>
          <w:tcPr>
            <w:tcW w:type="dxa" w:w="1938"/>
            <w:shd w:val="clear" w:color="auto" w:fill="FFFFFF"/>
          </w:tcPr>
          <w:p>
            <w:pPr>
              <w:spacing w:before="20" w:after="20"/>
              <w:jc w:val="center"/>
            </w:pPr>
            <w:r>
              <w:rPr>
                <w:rFonts w:ascii="Calibri" w:hAnsi="Calibri"/>
                <w:b w:val="0"/>
                <w:i w:val="0"/>
                <w:sz w:val="18"/>
              </w:rPr>
              <w:t>0.00%</w:t>
            </w:r>
          </w:p>
        </w:tc>
        <w:tc>
          <w:tcPr>
            <w:tcW w:type="dxa" w:w="1938"/>
            <w:shd w:val="clear" w:color="auto" w:fill="FFFFFF"/>
          </w:tcPr>
          <w:p>
            <w:pPr>
              <w:spacing w:before="20" w:after="20"/>
              <w:jc w:val="center"/>
            </w:pPr>
            <w:r>
              <w:rPr>
                <w:rFonts w:ascii="Calibri" w:hAnsi="Calibri"/>
                <w:b w:val="0"/>
                <w:i w:val="0"/>
                <w:sz w:val="18"/>
              </w:rPr>
              <w:t>✓</w:t>
            </w:r>
          </w:p>
        </w:tc>
      </w:tr>
      <w:tr>
        <w:tc>
          <w:tcPr>
            <w:tcW w:type="dxa" w:w="1938"/>
            <w:shd w:val="clear" w:color="auto" w:fill="F2F2F2"/>
          </w:tcPr>
          <w:p>
            <w:pPr>
              <w:spacing w:before="20" w:after="20"/>
              <w:jc w:val="left"/>
            </w:pPr>
            <w:r>
              <w:rPr>
                <w:rFonts w:ascii="Calibri" w:hAnsi="Calibri"/>
                <w:b w:val="0"/>
                <w:i w:val="0"/>
                <w:sz w:val="18"/>
              </w:rPr>
              <w:t>Resource Coverage %</w:t>
            </w:r>
          </w:p>
        </w:tc>
        <w:tc>
          <w:tcPr>
            <w:tcW w:type="dxa" w:w="1938"/>
            <w:shd w:val="clear" w:color="auto" w:fill="F2F2F2"/>
          </w:tcPr>
          <w:p>
            <w:pPr>
              <w:spacing w:before="20" w:after="20"/>
              <w:jc w:val="center"/>
            </w:pPr>
            <w:r>
              <w:rPr>
                <w:rFonts w:ascii="Calibri" w:hAnsi="Calibri"/>
                <w:b w:val="0"/>
                <w:i w:val="0"/>
                <w:sz w:val="18"/>
              </w:rPr>
              <w:t>89.00%</w:t>
            </w:r>
          </w:p>
        </w:tc>
        <w:tc>
          <w:tcPr>
            <w:tcW w:type="dxa" w:w="1938"/>
            <w:shd w:val="clear" w:color="auto" w:fill="F2F2F2"/>
          </w:tcPr>
          <w:p>
            <w:pPr>
              <w:spacing w:before="20" w:after="20"/>
              <w:jc w:val="center"/>
            </w:pPr>
            <w:r>
              <w:rPr>
                <w:rFonts w:ascii="Calibri" w:hAnsi="Calibri"/>
                <w:b w:val="0"/>
                <w:i w:val="0"/>
                <w:sz w:val="18"/>
              </w:rPr>
              <w:t>89.33%</w:t>
            </w:r>
          </w:p>
        </w:tc>
        <w:tc>
          <w:tcPr>
            <w:tcW w:type="dxa" w:w="1938"/>
            <w:shd w:val="clear" w:color="auto" w:fill="F2F2F2"/>
          </w:tcPr>
          <w:p>
            <w:pPr>
              <w:spacing w:before="20" w:after="20"/>
              <w:jc w:val="center"/>
            </w:pPr>
            <w:r>
              <w:rPr>
                <w:rFonts w:ascii="Calibri" w:hAnsi="Calibri"/>
                <w:b w:val="0"/>
                <w:i w:val="0"/>
                <w:sz w:val="18"/>
              </w:rPr>
              <w:t>+0.33%</w:t>
            </w:r>
          </w:p>
        </w:tc>
        <w:tc>
          <w:tcPr>
            <w:tcW w:type="dxa" w:w="1938"/>
            <w:shd w:val="clear" w:color="auto" w:fill="F2F2F2"/>
          </w:tcPr>
          <w:p>
            <w:pPr>
              <w:spacing w:before="20" w:after="20"/>
              <w:jc w:val="center"/>
            </w:pPr>
            <w:r>
              <w:rPr>
                <w:rFonts w:ascii="Calibri" w:hAnsi="Calibri"/>
                <w:b w:val="0"/>
                <w:i w:val="0"/>
                <w:sz w:val="18"/>
              </w:rPr>
              <w:t>↑</w:t>
            </w:r>
          </w:p>
        </w:tc>
      </w:tr>
      <w:tr>
        <w:tc>
          <w:tcPr>
            <w:tcW w:type="dxa" w:w="1938"/>
            <w:shd w:val="clear" w:color="auto" w:fill="BDD7EE"/>
          </w:tcPr>
          <w:p>
            <w:pPr>
              <w:spacing w:before="20" w:after="20"/>
              <w:jc w:val="left"/>
            </w:pPr>
            <w:r>
              <w:rPr>
                <w:rFonts w:ascii="Calibri" w:hAnsi="Calibri"/>
                <w:b w:val="0"/>
                <w:i w:val="0"/>
                <w:sz w:val="18"/>
              </w:rPr>
              <w:t>Dependency Score %</w:t>
            </w:r>
          </w:p>
        </w:tc>
        <w:tc>
          <w:tcPr>
            <w:tcW w:type="dxa" w:w="1938"/>
            <w:shd w:val="clear" w:color="auto" w:fill="BDD7EE"/>
          </w:tcPr>
          <w:p>
            <w:pPr>
              <w:spacing w:before="20" w:after="20"/>
              <w:jc w:val="center"/>
            </w:pPr>
            <w:r>
              <w:rPr>
                <w:rFonts w:ascii="Calibri" w:hAnsi="Calibri"/>
                <w:b w:val="0"/>
                <w:i w:val="0"/>
                <w:sz w:val="18"/>
              </w:rPr>
              <w:t>97.47%</w:t>
            </w:r>
          </w:p>
        </w:tc>
        <w:tc>
          <w:tcPr>
            <w:tcW w:type="dxa" w:w="1938"/>
            <w:shd w:val="clear" w:color="auto" w:fill="BDD7EE"/>
          </w:tcPr>
          <w:p>
            <w:pPr>
              <w:spacing w:before="20" w:after="20"/>
              <w:jc w:val="center"/>
            </w:pPr>
            <w:r>
              <w:rPr>
                <w:rFonts w:ascii="Calibri" w:hAnsi="Calibri"/>
                <w:b w:val="0"/>
                <w:i w:val="0"/>
                <w:sz w:val="18"/>
              </w:rPr>
              <w:t>99.87%</w:t>
            </w:r>
          </w:p>
        </w:tc>
        <w:tc>
          <w:tcPr>
            <w:tcW w:type="dxa" w:w="1938"/>
            <w:shd w:val="clear" w:color="auto" w:fill="BDD7EE"/>
          </w:tcPr>
          <w:p>
            <w:pPr>
              <w:spacing w:before="20" w:after="20"/>
              <w:jc w:val="center"/>
            </w:pPr>
            <w:r>
              <w:rPr>
                <w:rFonts w:ascii="Calibri" w:hAnsi="Calibri"/>
                <w:b w:val="0"/>
                <w:i w:val="0"/>
                <w:sz w:val="18"/>
              </w:rPr>
              <w:t>+2.40%</w:t>
            </w:r>
          </w:p>
        </w:tc>
        <w:tc>
          <w:tcPr>
            <w:tcW w:type="dxa" w:w="1938"/>
            <w:shd w:val="clear" w:color="auto" w:fill="BDD7EE"/>
          </w:tcPr>
          <w:p>
            <w:pPr>
              <w:spacing w:before="20" w:after="20"/>
              <w:jc w:val="center"/>
            </w:pPr>
            <w:r>
              <w:rPr>
                <w:rFonts w:ascii="Calibri" w:hAnsi="Calibri"/>
                <w:b w:val="0"/>
                <w:i w:val="0"/>
                <w:sz w:val="18"/>
              </w:rPr>
              <w:t>↑↑</w:t>
            </w:r>
          </w:p>
        </w:tc>
      </w:tr>
      <w:tr>
        <w:tc>
          <w:tcPr>
            <w:tcW w:type="dxa" w:w="1938"/>
            <w:shd w:val="clear" w:color="auto" w:fill="BDD7EE"/>
          </w:tcPr>
          <w:p>
            <w:pPr>
              <w:spacing w:before="20" w:after="20"/>
              <w:jc w:val="left"/>
            </w:pPr>
            <w:r>
              <w:rPr>
                <w:rFonts w:ascii="Calibri" w:hAnsi="Calibri"/>
                <w:b w:val="0"/>
                <w:i w:val="0"/>
                <w:sz w:val="18"/>
              </w:rPr>
              <w:t>Security Issues (avg)</w:t>
            </w:r>
          </w:p>
        </w:tc>
        <w:tc>
          <w:tcPr>
            <w:tcW w:type="dxa" w:w="1938"/>
            <w:shd w:val="clear" w:color="auto" w:fill="BDD7EE"/>
          </w:tcPr>
          <w:p>
            <w:pPr>
              <w:spacing w:before="20" w:after="20"/>
              <w:jc w:val="center"/>
            </w:pPr>
            <w:r>
              <w:rPr>
                <w:rFonts w:ascii="Calibri" w:hAnsi="Calibri"/>
                <w:b w:val="0"/>
                <w:i w:val="0"/>
                <w:sz w:val="18"/>
              </w:rPr>
              <w:t>0.2200</w:t>
            </w:r>
          </w:p>
        </w:tc>
        <w:tc>
          <w:tcPr>
            <w:tcW w:type="dxa" w:w="1938"/>
            <w:shd w:val="clear" w:color="auto" w:fill="BDD7EE"/>
          </w:tcPr>
          <w:p>
            <w:pPr>
              <w:spacing w:before="20" w:after="20"/>
              <w:jc w:val="center"/>
            </w:pPr>
            <w:r>
              <w:rPr>
                <w:rFonts w:ascii="Calibri" w:hAnsi="Calibri"/>
                <w:b w:val="0"/>
                <w:i w:val="0"/>
                <w:sz w:val="18"/>
              </w:rPr>
              <w:t>0.1200</w:t>
            </w:r>
          </w:p>
        </w:tc>
        <w:tc>
          <w:tcPr>
            <w:tcW w:type="dxa" w:w="1938"/>
            <w:shd w:val="clear" w:color="auto" w:fill="BDD7EE"/>
          </w:tcPr>
          <w:p>
            <w:pPr>
              <w:spacing w:before="20" w:after="20"/>
              <w:jc w:val="center"/>
            </w:pPr>
            <w:r>
              <w:rPr>
                <w:rFonts w:ascii="Calibri" w:hAnsi="Calibri"/>
                <w:b w:val="0"/>
                <w:i w:val="0"/>
                <w:sz w:val="18"/>
              </w:rPr>
              <w:t>-0.10</w:t>
            </w:r>
          </w:p>
        </w:tc>
        <w:tc>
          <w:tcPr>
            <w:tcW w:type="dxa" w:w="1938"/>
            <w:shd w:val="clear" w:color="auto" w:fill="BDD7EE"/>
          </w:tcPr>
          <w:p>
            <w:pPr>
              <w:spacing w:before="20" w:after="20"/>
              <w:jc w:val="center"/>
            </w:pPr>
            <w:r>
              <w:rPr>
                <w:rFonts w:ascii="Calibri" w:hAnsi="Calibri"/>
                <w:b w:val="0"/>
                <w:i w:val="0"/>
                <w:sz w:val="18"/>
              </w:rPr>
              <w:t>↑↑</w:t>
            </w:r>
          </w:p>
        </w:tc>
      </w:tr>
      <w:tr>
        <w:tc>
          <w:tcPr>
            <w:tcW w:type="dxa" w:w="1938"/>
            <w:shd w:val="clear" w:color="auto" w:fill="FFFFFF"/>
          </w:tcPr>
          <w:p>
            <w:pPr>
              <w:spacing w:before="20" w:after="20"/>
              <w:jc w:val="left"/>
            </w:pPr>
            <w:r>
              <w:rPr>
                <w:rFonts w:ascii="Calibri" w:hAnsi="Calibri"/>
                <w:b w:val="0"/>
                <w:i w:val="0"/>
                <w:sz w:val="18"/>
              </w:rPr>
              <w:t>Hardcoded Secrets (avg)</w:t>
            </w:r>
          </w:p>
        </w:tc>
        <w:tc>
          <w:tcPr>
            <w:tcW w:type="dxa" w:w="1938"/>
            <w:shd w:val="clear" w:color="auto" w:fill="FFFFFF"/>
          </w:tcPr>
          <w:p>
            <w:pPr>
              <w:spacing w:before="20" w:after="20"/>
              <w:jc w:val="center"/>
            </w:pPr>
            <w:r>
              <w:rPr>
                <w:rFonts w:ascii="Calibri" w:hAnsi="Calibri"/>
                <w:b w:val="0"/>
                <w:i w:val="0"/>
                <w:sz w:val="18"/>
              </w:rPr>
              <w:t>0.0033</w:t>
            </w:r>
          </w:p>
        </w:tc>
        <w:tc>
          <w:tcPr>
            <w:tcW w:type="dxa" w:w="1938"/>
            <w:shd w:val="clear" w:color="auto" w:fill="FFFFFF"/>
          </w:tcPr>
          <w:p>
            <w:pPr>
              <w:spacing w:before="20" w:after="20"/>
              <w:jc w:val="center"/>
            </w:pPr>
            <w:r>
              <w:rPr>
                <w:rFonts w:ascii="Calibri" w:hAnsi="Calibri"/>
                <w:b w:val="0"/>
                <w:i w:val="0"/>
                <w:sz w:val="18"/>
              </w:rPr>
              <w:t>0.0000</w:t>
            </w:r>
          </w:p>
        </w:tc>
        <w:tc>
          <w:tcPr>
            <w:tcW w:type="dxa" w:w="1938"/>
            <w:shd w:val="clear" w:color="auto" w:fill="FFFFFF"/>
          </w:tcPr>
          <w:p>
            <w:pPr>
              <w:spacing w:before="20" w:after="20"/>
              <w:jc w:val="center"/>
            </w:pPr>
            <w:r>
              <w:rPr>
                <w:rFonts w:ascii="Calibri" w:hAnsi="Calibri"/>
                <w:b w:val="0"/>
                <w:i w:val="0"/>
                <w:sz w:val="18"/>
              </w:rPr>
              <w:t>-0.003</w:t>
            </w:r>
          </w:p>
        </w:tc>
        <w:tc>
          <w:tcPr>
            <w:tcW w:type="dxa" w:w="1938"/>
            <w:shd w:val="clear" w:color="auto" w:fill="FFFFFF"/>
          </w:tcPr>
          <w:p>
            <w:pPr>
              <w:spacing w:before="20" w:after="20"/>
              <w:jc w:val="center"/>
            </w:pPr>
            <w:r>
              <w:rPr>
                <w:rFonts w:ascii="Calibri" w:hAnsi="Calibri"/>
                <w:b w:val="0"/>
                <w:i w:val="0"/>
                <w:sz w:val="18"/>
              </w:rPr>
              <w:t>↑</w:t>
            </w:r>
          </w:p>
        </w:tc>
      </w:tr>
      <w:tr>
        <w:tc>
          <w:tcPr>
            <w:tcW w:type="dxa" w:w="1938"/>
            <w:shd w:val="clear" w:color="auto" w:fill="BDD7EE"/>
          </w:tcPr>
          <w:p>
            <w:pPr>
              <w:spacing w:before="20" w:after="20"/>
              <w:jc w:val="left"/>
            </w:pPr>
            <w:r>
              <w:rPr>
                <w:rFonts w:ascii="Calibri" w:hAnsi="Calibri"/>
                <w:b w:val="0"/>
                <w:i w:val="0"/>
                <w:sz w:val="18"/>
              </w:rPr>
              <w:t>Best-Practice Score %</w:t>
            </w:r>
          </w:p>
        </w:tc>
        <w:tc>
          <w:tcPr>
            <w:tcW w:type="dxa" w:w="1938"/>
            <w:shd w:val="clear" w:color="auto" w:fill="BDD7EE"/>
          </w:tcPr>
          <w:p>
            <w:pPr>
              <w:spacing w:before="20" w:after="20"/>
              <w:jc w:val="center"/>
            </w:pPr>
            <w:r>
              <w:rPr>
                <w:rFonts w:ascii="Calibri" w:hAnsi="Calibri"/>
                <w:b w:val="0"/>
                <w:i w:val="0"/>
                <w:sz w:val="18"/>
              </w:rPr>
              <w:t>43.63%</w:t>
            </w:r>
          </w:p>
        </w:tc>
        <w:tc>
          <w:tcPr>
            <w:tcW w:type="dxa" w:w="1938"/>
            <w:shd w:val="clear" w:color="auto" w:fill="BDD7EE"/>
          </w:tcPr>
          <w:p>
            <w:pPr>
              <w:spacing w:before="20" w:after="20"/>
              <w:jc w:val="center"/>
            </w:pPr>
            <w:r>
              <w:rPr>
                <w:rFonts w:ascii="Calibri" w:hAnsi="Calibri"/>
                <w:b w:val="0"/>
                <w:i w:val="0"/>
                <w:sz w:val="18"/>
              </w:rPr>
              <w:t>70.75%</w:t>
            </w:r>
          </w:p>
        </w:tc>
        <w:tc>
          <w:tcPr>
            <w:tcW w:type="dxa" w:w="1938"/>
            <w:shd w:val="clear" w:color="auto" w:fill="BDD7EE"/>
          </w:tcPr>
          <w:p>
            <w:pPr>
              <w:spacing w:before="20" w:after="20"/>
              <w:jc w:val="center"/>
            </w:pPr>
            <w:r>
              <w:rPr>
                <w:rFonts w:ascii="Calibri" w:hAnsi="Calibri"/>
                <w:b w:val="0"/>
                <w:i w:val="0"/>
                <w:sz w:val="18"/>
              </w:rPr>
              <w:t>+27.12%</w:t>
            </w:r>
          </w:p>
        </w:tc>
        <w:tc>
          <w:tcPr>
            <w:tcW w:type="dxa" w:w="1938"/>
            <w:shd w:val="clear" w:color="auto" w:fill="BDD7EE"/>
          </w:tcPr>
          <w:p>
            <w:pPr>
              <w:spacing w:before="20" w:after="20"/>
              <w:jc w:val="center"/>
            </w:pPr>
            <w:r>
              <w:rPr>
                <w:rFonts w:ascii="Calibri" w:hAnsi="Calibri"/>
                <w:b w:val="0"/>
                <w:i w:val="0"/>
                <w:sz w:val="18"/>
              </w:rPr>
              <w:t>↑↑</w:t>
            </w:r>
          </w:p>
        </w:tc>
      </w:tr>
      <w:tr>
        <w:tc>
          <w:tcPr>
            <w:tcW w:type="dxa" w:w="1938"/>
            <w:shd w:val="clear" w:color="auto" w:fill="FFFFFF"/>
          </w:tcPr>
          <w:p>
            <w:pPr>
              <w:spacing w:before="20" w:after="20"/>
              <w:jc w:val="left"/>
            </w:pPr>
            <w:r>
              <w:rPr>
                <w:rFonts w:ascii="Calibri" w:hAnsi="Calibri"/>
                <w:b w:val="0"/>
                <w:i w:val="0"/>
                <w:sz w:val="18"/>
              </w:rPr>
              <w:t>Code Similarity %</w:t>
            </w:r>
          </w:p>
        </w:tc>
        <w:tc>
          <w:tcPr>
            <w:tcW w:type="dxa" w:w="1938"/>
            <w:shd w:val="clear" w:color="auto" w:fill="FFFFFF"/>
          </w:tcPr>
          <w:p>
            <w:pPr>
              <w:spacing w:before="20" w:after="20"/>
              <w:jc w:val="center"/>
            </w:pPr>
            <w:r>
              <w:rPr>
                <w:rFonts w:ascii="Calibri" w:hAnsi="Calibri"/>
                <w:b w:val="0"/>
                <w:i w:val="0"/>
                <w:sz w:val="18"/>
              </w:rPr>
              <w:t>12.67%</w:t>
            </w:r>
          </w:p>
        </w:tc>
        <w:tc>
          <w:tcPr>
            <w:tcW w:type="dxa" w:w="1938"/>
            <w:shd w:val="clear" w:color="auto" w:fill="FFFFFF"/>
          </w:tcPr>
          <w:p>
            <w:pPr>
              <w:spacing w:before="20" w:after="20"/>
              <w:jc w:val="center"/>
            </w:pPr>
            <w:r>
              <w:rPr>
                <w:rFonts w:ascii="Calibri" w:hAnsi="Calibri"/>
                <w:b w:val="0"/>
                <w:i w:val="0"/>
                <w:sz w:val="18"/>
              </w:rPr>
              <w:t>9.24%</w:t>
            </w:r>
          </w:p>
        </w:tc>
        <w:tc>
          <w:tcPr>
            <w:tcW w:type="dxa" w:w="1938"/>
            <w:shd w:val="clear" w:color="auto" w:fill="FFFFFF"/>
          </w:tcPr>
          <w:p>
            <w:pPr>
              <w:spacing w:before="20" w:after="20"/>
              <w:jc w:val="center"/>
            </w:pPr>
            <w:r>
              <w:rPr>
                <w:rFonts w:ascii="Calibri" w:hAnsi="Calibri"/>
                <w:b w:val="0"/>
                <w:i w:val="0"/>
                <w:sz w:val="18"/>
              </w:rPr>
              <w:t>-3.43%</w:t>
            </w:r>
          </w:p>
        </w:tc>
        <w:tc>
          <w:tcPr>
            <w:tcW w:type="dxa" w:w="1938"/>
            <w:shd w:val="clear" w:color="auto" w:fill="FFFFFF"/>
          </w:tcPr>
          <w:p>
            <w:pPr>
              <w:spacing w:before="20" w:after="20"/>
              <w:jc w:val="center"/>
            </w:pPr>
            <w:r>
              <w:rPr>
                <w:rFonts w:ascii="Calibri" w:hAnsi="Calibri"/>
                <w:b w:val="0"/>
                <w:i w:val="0"/>
                <w:sz w:val="18"/>
              </w:rPr>
              <w:t>↓</w:t>
            </w:r>
          </w:p>
        </w:tc>
      </w:tr>
      <w:tr>
        <w:tc>
          <w:tcPr>
            <w:tcW w:type="dxa" w:w="1938"/>
            <w:shd w:val="clear" w:color="auto" w:fill="BDD7EE"/>
          </w:tcPr>
          <w:p>
            <w:pPr>
              <w:spacing w:before="20" w:after="20"/>
              <w:jc w:val="left"/>
            </w:pPr>
            <w:r>
              <w:rPr>
                <w:rFonts w:ascii="Calibri" w:hAnsi="Calibri"/>
                <w:b w:val="0"/>
                <w:i w:val="0"/>
                <w:sz w:val="18"/>
              </w:rPr>
              <w:t>Composite Score /100</w:t>
            </w:r>
          </w:p>
        </w:tc>
        <w:tc>
          <w:tcPr>
            <w:tcW w:type="dxa" w:w="1938"/>
            <w:shd w:val="clear" w:color="auto" w:fill="BDD7EE"/>
          </w:tcPr>
          <w:p>
            <w:pPr>
              <w:spacing w:before="20" w:after="20"/>
              <w:jc w:val="center"/>
            </w:pPr>
            <w:r>
              <w:rPr>
                <w:rFonts w:ascii="Calibri" w:hAnsi="Calibri"/>
                <w:b w:val="0"/>
                <w:i w:val="0"/>
                <w:sz w:val="18"/>
              </w:rPr>
              <w:t>92.24</w:t>
            </w:r>
          </w:p>
        </w:tc>
        <w:tc>
          <w:tcPr>
            <w:tcW w:type="dxa" w:w="1938"/>
            <w:shd w:val="clear" w:color="auto" w:fill="BDD7EE"/>
          </w:tcPr>
          <w:p>
            <w:pPr>
              <w:spacing w:before="20" w:after="20"/>
              <w:jc w:val="center"/>
            </w:pPr>
            <w:r>
              <w:rPr>
                <w:rFonts w:ascii="Calibri" w:hAnsi="Calibri"/>
                <w:b w:val="0"/>
                <w:i w:val="0"/>
                <w:sz w:val="18"/>
              </w:rPr>
              <w:t>95.34</w:t>
            </w:r>
          </w:p>
        </w:tc>
        <w:tc>
          <w:tcPr>
            <w:tcW w:type="dxa" w:w="1938"/>
            <w:shd w:val="clear" w:color="auto" w:fill="BDD7EE"/>
          </w:tcPr>
          <w:p>
            <w:pPr>
              <w:spacing w:before="20" w:after="20"/>
              <w:jc w:val="center"/>
            </w:pPr>
            <w:r>
              <w:rPr>
                <w:rFonts w:ascii="Calibri" w:hAnsi="Calibri"/>
                <w:b w:val="0"/>
                <w:i w:val="0"/>
                <w:sz w:val="18"/>
              </w:rPr>
              <w:t>+3.10</w:t>
            </w:r>
          </w:p>
        </w:tc>
        <w:tc>
          <w:tcPr>
            <w:tcW w:type="dxa" w:w="1938"/>
            <w:shd w:val="clear" w:color="auto" w:fill="BDD7EE"/>
          </w:tcPr>
          <w:p>
            <w:pPr>
              <w:spacing w:before="20" w:after="20"/>
              <w:jc w:val="center"/>
            </w:pPr>
            <w:r>
              <w:rPr>
                <w:rFonts w:ascii="Calibri" w:hAnsi="Calibri"/>
                <w:b w:val="0"/>
                <w:i w:val="0"/>
                <w:sz w:val="18"/>
              </w:rPr>
              <w:t>↑↑</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