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pPr>
            <w:r/>
            <w:r>
              <w:rPr>
                <w:b w:val="0"/>
              </w:rPr>
              <w:t>06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pPr>
            <w:r/>
            <w:r>
              <w:rPr>
                <w:b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pPr>
            <w:r/>
            <w:r>
              <w:rPr>
                <w:b w:val="0"/>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pPr>
            <w:r/>
            <w:r>
              <w:rPr>
                <w:b w:val="0"/>
              </w:rP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jc w:val="center"/>
      </w:pPr>
      <w:r>
        <w:rPr>
          <w:b/>
          <w:sz w:val="32"/>
        </w:rPr>
        <w:t>Project 5 – Empathy Map</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
              <w:rPr>
                <w:b/>
              </w:rPr>
              <w:t>Think &amp; Feel</w:t>
            </w:r>
          </w:p>
        </w:tc>
        <w:tc>
          <w:tcPr>
            <w:tcW w:type="dxa" w:w="4513"/>
            <w:vAlign w:val="center"/>
          </w:tcPr>
          <w:p>
            <w:pPr>
              <w:spacing w:after="0"/>
            </w:pPr>
            <w:r/>
            <w:r>
              <w:rPr>
                <w:b w:val="0"/>
              </w:rPr>
              <w:t>Wants student records to be protected; expects access to match assigned responsibility; is concerned about unauthorized viewing or changes.</w:t>
            </w:r>
          </w:p>
        </w:tc>
      </w:tr>
      <w:tr>
        <w:tc>
          <w:tcPr>
            <w:tcW w:type="dxa" w:w="4513"/>
            <w:vAlign w:val="center"/>
          </w:tcPr>
          <w:p>
            <w:pPr>
              <w:spacing w:after="0"/>
            </w:pPr>
            <w:r/>
            <w:r>
              <w:rPr>
                <w:b/>
              </w:rPr>
              <w:t>Hear</w:t>
            </w:r>
          </w:p>
        </w:tc>
        <w:tc>
          <w:tcPr>
            <w:tcW w:type="dxa" w:w="4513"/>
            <w:vAlign w:val="center"/>
          </w:tcPr>
          <w:p>
            <w:pPr>
              <w:spacing w:after="0"/>
            </w:pPr>
            <w:r/>
            <w:r>
              <w:rPr>
                <w:b w:val="0"/>
              </w:rPr>
              <w:t>Instructions require role-based access, Branch-based READ control, and separate permissions for CREATE, WRITE, and DELETE.</w:t>
            </w:r>
          </w:p>
        </w:tc>
      </w:tr>
      <w:tr>
        <w:tc>
          <w:tcPr>
            <w:tcW w:type="dxa" w:w="4513"/>
            <w:vAlign w:val="center"/>
          </w:tcPr>
          <w:p>
            <w:pPr>
              <w:spacing w:after="0"/>
            </w:pPr>
            <w:r/>
            <w:r>
              <w:rPr>
                <w:b/>
              </w:rPr>
              <w:t>See</w:t>
            </w:r>
          </w:p>
        </w:tc>
        <w:tc>
          <w:tcPr>
            <w:tcW w:type="dxa" w:w="4513"/>
            <w:vAlign w:val="center"/>
          </w:tcPr>
          <w:p>
            <w:pPr>
              <w:spacing w:after="0"/>
            </w:pPr>
            <w:r/>
            <w:r>
              <w:rPr>
                <w:b w:val="0"/>
              </w:rPr>
              <w:t>Institution Details records containing Student Roll Number, Student Name, Faculty Name, Branch, Email, Phone Number, and Description.</w:t>
            </w:r>
          </w:p>
        </w:tc>
      </w:tr>
      <w:tr>
        <w:tc>
          <w:tcPr>
            <w:tcW w:type="dxa" w:w="4513"/>
            <w:vAlign w:val="center"/>
          </w:tcPr>
          <w:p>
            <w:pPr>
              <w:spacing w:after="0"/>
            </w:pPr>
            <w:r/>
            <w:r>
              <w:rPr>
                <w:b/>
              </w:rPr>
              <w:t>Say &amp; Do</w:t>
            </w:r>
          </w:p>
        </w:tc>
        <w:tc>
          <w:tcPr>
            <w:tcW w:type="dxa" w:w="4513"/>
            <w:vAlign w:val="center"/>
          </w:tcPr>
          <w:p>
            <w:pPr>
              <w:spacing w:after="0"/>
            </w:pPr>
            <w:r/>
            <w:r>
              <w:rPr>
                <w:b w:val="0"/>
              </w:rPr>
              <w:t>Views records, creates records, edits records, or deletes records depending on the roles assigned.</w:t>
            </w:r>
          </w:p>
        </w:tc>
      </w:tr>
      <w:tr>
        <w:tc>
          <w:tcPr>
            <w:tcW w:type="dxa" w:w="4513"/>
            <w:vAlign w:val="center"/>
          </w:tcPr>
          <w:p>
            <w:pPr>
              <w:spacing w:after="0"/>
            </w:pPr>
            <w:r/>
            <w:r>
              <w:rPr>
                <w:b/>
              </w:rPr>
              <w:t>Pain</w:t>
            </w:r>
          </w:p>
        </w:tc>
        <w:tc>
          <w:tcPr>
            <w:tcW w:type="dxa" w:w="4513"/>
            <w:vAlign w:val="center"/>
          </w:tcPr>
          <w:p>
            <w:pPr>
              <w:spacing w:after="0"/>
            </w:pPr>
            <w:r/>
            <w:r>
              <w:rPr>
                <w:b w:val="0"/>
              </w:rPr>
              <w:t>Unauthorized users may see or change protected student records; unclear permissions can create security gaps.</w:t>
            </w:r>
          </w:p>
        </w:tc>
      </w:tr>
      <w:tr>
        <w:tc>
          <w:tcPr>
            <w:tcW w:type="dxa" w:w="4513"/>
            <w:vAlign w:val="center"/>
          </w:tcPr>
          <w:p>
            <w:pPr>
              <w:spacing w:after="0"/>
            </w:pPr>
            <w:r/>
            <w:r>
              <w:rPr>
                <w:b/>
              </w:rPr>
              <w:t>Gain</w:t>
            </w:r>
          </w:p>
        </w:tc>
        <w:tc>
          <w:tcPr>
            <w:tcW w:type="dxa" w:w="4513"/>
            <w:vAlign w:val="center"/>
          </w:tcPr>
          <w:p>
            <w:pPr>
              <w:spacing w:after="0"/>
            </w:pPr>
            <w:r/>
            <w:r>
              <w:rPr>
                <w:b w:val="0"/>
              </w:rPr>
              <w:t>Clear and predictable access control where bb1, bb2, bb3, and bb4 provide the intended progressive permissions.</w:t>
            </w:r>
          </w:p>
        </w:tc>
      </w:tr>
      <w:tr>
        <w:tc>
          <w:tcPr>
            <w:tcW w:type="dxa" w:w="4513"/>
            <w:vAlign w:val="center"/>
          </w:tcPr>
          <w:p>
            <w:pPr>
              <w:spacing w:after="0"/>
            </w:pPr>
            <w:r/>
            <w:r>
              <w:rPr>
                <w:b/>
              </w:rPr>
              <w:t>User / Goal</w:t>
            </w:r>
          </w:p>
        </w:tc>
        <w:tc>
          <w:tcPr>
            <w:tcW w:type="dxa" w:w="4513"/>
            <w:vAlign w:val="center"/>
          </w:tcPr>
          <w:p>
            <w:pPr>
              <w:spacing w:after="0"/>
            </w:pPr>
            <w:r/>
            <w:r>
              <w:rPr>
                <w:b w:val="0"/>
              </w:rPr>
              <w:t>ServiceNow users and administrators need secure record-level access while allowing authorized operations.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