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
              <w:t>06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
              <w:t>Script-Controlled ACL – 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Technical Architecture:</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The Deliverable shall include the architectural diagram as below and the information as per the table1 &amp; table 2</w:t>
      </w:r>
    </w:p>
    <w:p w:rsidR="00000000" w:rsidDel="00000000" w:rsidP="00000000" w:rsidRDefault="00000000" w:rsidRPr="00000000" w14:paraId="0000000F">
      <w:pPr>
        <w:rPr>
          <w:rFonts w:ascii="Arial" w:cs="Arial" w:eastAsia="Arial" w:hAnsi="Arial"/>
          <w:b w:val="1"/>
        </w:rPr>
      </w:pPr>
      <w:r w:rsidDel="00000000" w:rsidR="00000000" w:rsidRPr="00000000">
        <w:rPr>
          <w:rFonts w:ascii="Arial" w:cs="Arial" w:eastAsia="Arial" w:hAnsi="Arial"/>
          <w:b w:val="1"/>
          <w:rtl w:val="0"/>
        </w:rPr>
        <w:t xml:space="preserve">Example: Order processing during pandemics for offline mode</w: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Reference: </w:t>
      </w:r>
      <w:hyperlink r:id="rId7">
        <w:r w:rsidDel="00000000" w:rsidR="00000000" w:rsidRPr="00000000">
          <w:rPr>
            <w:rFonts w:ascii="Arial" w:cs="Arial" w:eastAsia="Arial" w:hAnsi="Arial"/>
            <w:b w:val="1"/>
            <w:color w:val="0563c1"/>
            <w:u w:val="single"/>
            <w:rtl w:val="0"/>
          </w:rPr>
          <w:t xml:space="preserve">https://developer.ibm.com/patterns/ai-powered-backend-system-for-order-processing-during-pandemics/</w:t>
        </w:r>
      </w:hyperlink>
      <w:r w:rsidDel="00000000" w:rsidR="00000000" w:rsidRPr="00000000">
        <w:rPr>
          <w:rtl w:val="0"/>
        </w:rPr>
      </w:r>
    </w:p>
    <w:p w:rsidR="00000000" w:rsidDel="00000000" w:rsidP="00000000" w:rsidRDefault="00000000" w:rsidRPr="00000000" w14:paraId="00000011">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190500</wp:posOffset>
                </wp:positionV>
                <wp:extent cx="4768850" cy="2641600"/>
                <wp:effectExtent b="0" l="0" r="0" t="0"/>
                <wp:wrapNone/>
                <wp:docPr id="13" name=""/>
                <a:graphic>
                  <a:graphicData uri="http://schemas.microsoft.com/office/word/2010/wordprocessingShape">
                    <wps:wsp>
                      <wps:cNvSpPr/>
                      <wps:cNvPr id="2" name="Shape 2"/>
                      <wps:spPr>
                        <a:xfrm>
                          <a:off x="2971100" y="2468725"/>
                          <a:ext cx="4749800" cy="26225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Guidelines:</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8"/>
                                <w:vertAlign w:val="baseline"/>
                              </w:rPr>
                              <w:t xml:space="preserve">Include all the processes (As an application logic / Technology Block)</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Provide infrastructural demarcation (Local / Cloud)</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Indicate external interfaces (third party API’s etc.)</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Indicate Data Storage components / services</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Indicate interface to machine learning models (if applicable)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190500</wp:posOffset>
                </wp:positionV>
                <wp:extent cx="4768850" cy="2641600"/>
                <wp:effectExtent b="0" l="0" r="0" t="0"/>
                <wp:wrapNone/>
                <wp:docPr id="1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768850" cy="2641600"/>
                        </a:xfrm>
                        <a:prstGeom prst="rect"/>
                        <a:ln/>
                      </pic:spPr>
                    </pic:pic>
                  </a:graphicData>
                </a:graphic>
              </wp:anchor>
            </w:drawing>
          </mc:Fallback>
        </mc:AlternateContent>
      </w:r>
    </w:p>
    <w:p w:rsidR="00000000" w:rsidDel="00000000" w:rsidP="00000000" w:rsidRDefault="00000000" w:rsidRPr="00000000" w14:paraId="00000012">
      <w:pPr>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4326550" cy="2482850"/>
            <wp:effectExtent b="0" l="0" r="0" t="0"/>
            <wp:wrapSquare wrapText="bothSides" distB="0" distT="0" distL="114300" distR="114300"/>
            <wp:docPr descr="flow" id="14" name="image1.png"/>
            <a:graphic>
              <a:graphicData uri="http://schemas.openxmlformats.org/drawingml/2006/picture">
                <pic:pic>
                  <pic:nvPicPr>
                    <pic:cNvPr descr="flow" id="0" name="image1.png"/>
                    <pic:cNvPicPr preferRelativeResize="0"/>
                  </pic:nvPicPr>
                  <pic:blipFill>
                    <a:blip r:embed="rId9"/>
                    <a:srcRect b="0" l="0" r="0" t="0"/>
                    <a:stretch>
                      <a:fillRect/>
                    </a:stretch>
                  </pic:blipFill>
                  <pic:spPr>
                    <a:xfrm>
                      <a:off x="0" y="0"/>
                      <a:ext cx="4326550" cy="2482850"/>
                    </a:xfrm>
                    <a:prstGeom prst="rect"/>
                    <a:ln/>
                  </pic:spPr>
                </pic:pic>
              </a:graphicData>
            </a:graphic>
          </wp:anchor>
        </w:drawing>
      </w:r>
    </w:p>
    <w:p w:rsidR="00000000" w:rsidDel="00000000" w:rsidP="00000000" w:rsidRDefault="00000000" w:rsidRPr="00000000" w14:paraId="00000013">
      <w:pPr>
        <w:tabs>
          <w:tab w:val="left" w:leader="none" w:pos="2320"/>
        </w:tabs>
        <w:rPr>
          <w:rFonts w:ascii="Arial" w:cs="Arial" w:eastAsia="Arial" w:hAnsi="Arial"/>
          <w:b w:val="1"/>
        </w:rPr>
      </w:pPr>
      <w:r w:rsidDel="00000000" w:rsidR="00000000" w:rsidRPr="00000000">
        <w:rPr>
          <w:rFonts w:ascii="Arial" w:cs="Arial" w:eastAsia="Arial" w:hAnsi="Arial"/>
          <w:b w:val="1"/>
          <w:rtl w:val="0"/>
        </w:rPr>
        <w:tab/>
        <w:tab/>
        <w:tab/>
        <w:br w:type="textWrapping"/>
      </w:r>
    </w:p>
    <w:p w:rsidR="00000000" w:rsidDel="00000000" w:rsidP="00000000" w:rsidRDefault="00000000" w:rsidRPr="00000000" w14:paraId="00000014">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5">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6">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7">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8">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9">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A">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B">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C">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Table-1 : Components &amp; Technologies:</w:t>
      </w:r>
    </w:p>
    <w:tbl>
      <w:tblPr>
        <w:tblStyle w:val="Table2"/>
        <w:tblW w:w="14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020"/>
        <w:gridCol w:w="5205"/>
        <w:gridCol w:w="4140"/>
        <w:tblGridChange w:id="0">
          <w:tblGrid>
            <w:gridCol w:w="840"/>
            <w:gridCol w:w="4020"/>
            <w:gridCol w:w="5205"/>
            <w:gridCol w:w="4140"/>
          </w:tblGrid>
        </w:tblGridChange>
      </w:tblGrid>
      <w:tr>
        <w:trPr>
          <w:cantSplit w:val="0"/>
          <w:trHeight w:val="398" w:hRule="atLeast"/>
          <w:tblHeader w:val="0"/>
        </w:trPr>
        <w:tc>
          <w:tcPr/>
          <w:p w:rsidR="00000000" w:rsidDel="00000000" w:rsidP="00000000" w:rsidRDefault="00000000" w:rsidRPr="00000000" w14:paraId="0000001D">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S.No</w:t>
            </w:r>
          </w:p>
        </w:tc>
        <w:tc>
          <w:tcPr/>
          <w:p w:rsidR="00000000" w:rsidDel="00000000" w:rsidP="00000000" w:rsidRDefault="00000000" w:rsidRPr="00000000" w14:paraId="0000001E">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Component</w:t>
            </w:r>
          </w:p>
        </w:tc>
        <w:tc>
          <w:tcPr/>
          <w:p w:rsidR="00000000" w:rsidDel="00000000" w:rsidP="00000000" w:rsidRDefault="00000000" w:rsidRPr="00000000" w14:paraId="0000001F">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Description</w:t>
            </w:r>
          </w:p>
        </w:tc>
        <w:tc>
          <w:tcPr/>
          <w:p w:rsidR="00000000" w:rsidDel="00000000" w:rsidP="00000000" w:rsidRDefault="00000000" w:rsidRPr="00000000" w14:paraId="00000020">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Technology</w:t>
            </w:r>
          </w:p>
        </w:tc>
      </w:tr>
      <w:tr>
        <w:trPr>
          <w:cantSplit w:val="0"/>
          <w:trHeight w:val="489" w:hRule="atLeast"/>
          <w:tblHeader w:val="0"/>
        </w:trPr>
        <w:tc>
          <w:tcPr>
            <w:vAlign w:val="center"/>
          </w:tcPr>
          <w:p>
            <w:r>
              <w:t>1</w:t>
            </w:r>
          </w:p>
        </w:tc>
        <w:tc>
          <w:tcPr>
            <w:vAlign w:val="center"/>
          </w:tcPr>
          <w:p>
            <w:r>
              <w:t>User Interface</w:t>
            </w:r>
          </w:p>
        </w:tc>
        <w:tc>
          <w:tcPr>
            <w:vAlign w:val="center"/>
          </w:tcPr>
          <w:p>
            <w:r>
              <w:t>Users and administrators interact with ServiceNow lists and forms.</w:t>
            </w:r>
          </w:p>
        </w:tc>
        <w:tc>
          <w:tcPr>
            <w:vAlign w:val="center"/>
          </w:tcPr>
          <w:p>
            <w:r>
              <w:t>ServiceNow Web UI</w:t>
            </w:r>
          </w:p>
        </w:tc>
      </w:tr>
      <w:tr>
        <w:trPr>
          <w:cantSplit w:val="0"/>
          <w:trHeight w:val="470" w:hRule="atLeast"/>
          <w:tblHeader w:val="0"/>
        </w:trPr>
        <w:tc>
          <w:tcPr>
            <w:vAlign w:val="center"/>
          </w:tcPr>
          <w:p>
            <w:r>
              <w:t>2</w:t>
            </w:r>
          </w:p>
        </w:tc>
        <w:tc>
          <w:tcPr>
            <w:vAlign w:val="center"/>
          </w:tcPr>
          <w:p>
            <w:r>
              <w:t>Application Logic-1</w:t>
            </w:r>
          </w:p>
        </w:tc>
        <w:tc>
          <w:tcPr>
            <w:vAlign w:val="center"/>
          </w:tcPr>
          <w:p>
            <w:r>
              <w:t>ACL scripts evaluate roles and allow or deny access.</w:t>
            </w:r>
          </w:p>
        </w:tc>
        <w:tc>
          <w:tcPr>
            <w:vAlign w:val="center"/>
          </w:tcPr>
          <w:p>
            <w:r>
              <w:t>ServiceNow ACL / JavaScript</w:t>
            </w:r>
          </w:p>
        </w:tc>
      </w:tr>
      <w:tr>
        <w:trPr>
          <w:cantSplit w:val="0"/>
          <w:trHeight w:val="470" w:hRule="atLeast"/>
          <w:tblHeader w:val="0"/>
        </w:trPr>
        <w:tc>
          <w:tcPr>
            <w:vAlign w:val="center"/>
          </w:tcPr>
          <w:p>
            <w:r>
              <w:t>3</w:t>
            </w:r>
          </w:p>
        </w:tc>
        <w:tc>
          <w:tcPr>
            <w:vAlign w:val="center"/>
          </w:tcPr>
          <w:p>
            <w:r>
              <w:t>Application Logic-2</w:t>
            </w:r>
          </w:p>
        </w:tc>
        <w:tc>
          <w:tcPr>
            <w:vAlign w:val="center"/>
          </w:tcPr>
          <w:p>
            <w:r>
              <w:t>READ ACL checks the Branch value and role before granting record access.</w:t>
            </w:r>
          </w:p>
        </w:tc>
        <w:tc>
          <w:tcPr>
            <w:vAlign w:val="center"/>
          </w:tcPr>
          <w:p>
            <w:r>
              <w:t>ServiceNow Access Control</w:t>
            </w:r>
          </w:p>
        </w:tc>
      </w:tr>
      <w:tr>
        <w:trPr>
          <w:cantSplit w:val="0"/>
          <w:trHeight w:val="470" w:hRule="atLeast"/>
          <w:tblHeader w:val="0"/>
        </w:trPr>
        <w:tc>
          <w:tcPr>
            <w:vAlign w:val="center"/>
          </w:tcPr>
          <w:p>
            <w:r>
              <w:t>4</w:t>
            </w:r>
          </w:p>
        </w:tc>
        <w:tc>
          <w:tcPr>
            <w:vAlign w:val="center"/>
          </w:tcPr>
          <w:p>
            <w:r>
              <w:t>Application Logic-3</w:t>
            </w:r>
          </w:p>
        </w:tc>
        <w:tc>
          <w:tcPr>
            <w:vAlign w:val="center"/>
          </w:tcPr>
          <w:p>
            <w:r>
              <w:t>Separate CREATE, WRITE and DELETE ACLs enforce operation-level permissions.</w:t>
            </w:r>
          </w:p>
        </w:tc>
        <w:tc>
          <w:tcPr>
            <w:vAlign w:val="center"/>
          </w:tcPr>
          <w:p>
            <w:r>
              <w:t>ServiceNow Access Control</w:t>
            </w:r>
          </w:p>
        </w:tc>
      </w:tr>
      <w:tr>
        <w:trPr>
          <w:cantSplit w:val="0"/>
          <w:trHeight w:val="489" w:hRule="atLeast"/>
          <w:tblHeader w:val="0"/>
        </w:trPr>
        <w:tc>
          <w:tcPr>
            <w:vAlign w:val="center"/>
          </w:tcPr>
          <w:p>
            <w:r>
              <w:t>5</w:t>
            </w:r>
          </w:p>
        </w:tc>
        <w:tc>
          <w:tcPr>
            <w:vAlign w:val="center"/>
          </w:tcPr>
          <w:p>
            <w:r>
              <w:t>Database</w:t>
            </w:r>
          </w:p>
        </w:tc>
        <w:tc>
          <w:tcPr>
            <w:vAlign w:val="center"/>
          </w:tcPr>
          <w:p>
            <w:r>
              <w:t>Stores Institution Details and its configured fields/records.</w:t>
            </w:r>
          </w:p>
        </w:tc>
        <w:tc>
          <w:tcPr>
            <w:vAlign w:val="center"/>
          </w:tcPr>
          <w:p>
            <w:r>
              <w:t>ServiceNow Platform Database</w:t>
            </w:r>
          </w:p>
        </w:tc>
      </w:tr>
      <w:tr>
        <w:trPr>
          <w:cantSplit w:val="0"/>
          <w:trHeight w:val="489" w:hRule="atLeast"/>
          <w:tblHeader w:val="0"/>
        </w:trPr>
        <w:tc>
          <w:tcPr>
            <w:vAlign w:val="center"/>
          </w:tcPr>
          <w:p>
            <w:r>
              <w:t>6</w:t>
            </w:r>
          </w:p>
        </w:tc>
        <w:tc>
          <w:tcPr>
            <w:vAlign w:val="center"/>
          </w:tcPr>
          <w:p>
            <w:r>
              <w:t>Cloud Database</w:t>
            </w:r>
          </w:p>
        </w:tc>
        <w:tc>
          <w:tcPr>
            <w:vAlign w:val="center"/>
          </w:tcPr>
          <w:p>
            <w:r>
              <w:t>Managed platform data storage for the ServiceNow instance.</w:t>
            </w:r>
          </w:p>
        </w:tc>
        <w:tc>
          <w:tcPr>
            <w:vAlign w:val="center"/>
          </w:tcPr>
          <w:p>
            <w:r>
              <w:t>ServiceNow Platform</w:t>
            </w:r>
          </w:p>
        </w:tc>
      </w:tr>
      <w:tr>
        <w:trPr>
          <w:cantSplit w:val="0"/>
          <w:trHeight w:val="489" w:hRule="atLeast"/>
          <w:tblHeader w:val="0"/>
        </w:trPr>
        <w:tc>
          <w:tcPr>
            <w:vAlign w:val="center"/>
          </w:tcPr>
          <w:p>
            <w:r>
              <w:t>7</w:t>
            </w:r>
          </w:p>
        </w:tc>
        <w:tc>
          <w:tcPr>
            <w:vAlign w:val="center"/>
          </w:tcPr>
          <w:p>
            <w:r>
              <w:t>File Storage</w:t>
            </w:r>
          </w:p>
        </w:tc>
        <w:tc>
          <w:tcPr>
            <w:vAlign w:val="center"/>
          </w:tcPr>
          <w:p>
            <w:r>
              <w:t>Project documentation and evidence are maintained separately from the application data.</w:t>
            </w:r>
          </w:p>
        </w:tc>
        <w:tc>
          <w:tcPr>
            <w:vAlign w:val="center"/>
          </w:tcPr>
          <w:p>
            <w:r>
              <w:t>Local/GitHub project files</w:t>
            </w:r>
          </w:p>
        </w:tc>
      </w:tr>
      <w:tr>
        <w:trPr>
          <w:cantSplit w:val="0"/>
          <w:trHeight w:val="489" w:hRule="atLeast"/>
          <w:tblHeader w:val="0"/>
        </w:trPr>
        <w:tc>
          <w:tcPr>
            <w:vAlign w:val="center"/>
          </w:tcPr>
          <w:p>
            <w:r>
              <w:t>8</w:t>
            </w:r>
          </w:p>
        </w:tc>
        <w:tc>
          <w:tcPr>
            <w:vAlign w:val="center"/>
          </w:tcPr>
          <w:p>
            <w:r>
              <w:t>External API-1</w:t>
            </w:r>
          </w:p>
        </w:tc>
        <w:tc>
          <w:tcPr>
            <w:vAlign w:val="center"/>
          </w:tcPr>
          <w:p>
            <w:r>
              <w:t>No external API is required for the core ACL solution.</w:t>
            </w:r>
          </w:p>
        </w:tc>
        <w:tc>
          <w:tcPr>
            <w:vAlign w:val="center"/>
          </w:tcPr>
          <w:p>
            <w:r>
              <w:t>Not applicable</w:t>
            </w:r>
          </w:p>
        </w:tc>
      </w:tr>
      <w:tr>
        <w:trPr>
          <w:cantSplit w:val="0"/>
          <w:trHeight w:val="489" w:hRule="atLeast"/>
          <w:tblHeader w:val="0"/>
        </w:trPr>
        <w:tc>
          <w:tcPr>
            <w:vAlign w:val="center"/>
          </w:tcPr>
          <w:p>
            <w:r>
              <w:t>9</w:t>
            </w:r>
          </w:p>
        </w:tc>
        <w:tc>
          <w:tcPr>
            <w:vAlign w:val="center"/>
          </w:tcPr>
          <w:p>
            <w:r>
              <w:t>External API-2</w:t>
            </w:r>
          </w:p>
        </w:tc>
        <w:tc>
          <w:tcPr>
            <w:vAlign w:val="center"/>
          </w:tcPr>
          <w:p>
            <w:r>
              <w:t>No external API is required for the core ACL solution.</w:t>
            </w:r>
          </w:p>
        </w:tc>
        <w:tc>
          <w:tcPr>
            <w:vAlign w:val="center"/>
          </w:tcPr>
          <w:p>
            <w:r>
              <w:t>Not applicable</w:t>
            </w:r>
          </w:p>
        </w:tc>
      </w:tr>
      <w:tr>
        <w:trPr>
          <w:cantSplit w:val="0"/>
          <w:trHeight w:val="489" w:hRule="atLeast"/>
          <w:tblHeader w:val="0"/>
        </w:trPr>
        <w:tc>
          <w:tcPr>
            <w:vAlign w:val="center"/>
          </w:tcPr>
          <w:p>
            <w:r>
              <w:t>10</w:t>
            </w:r>
          </w:p>
        </w:tc>
        <w:tc>
          <w:tcPr>
            <w:vAlign w:val="center"/>
          </w:tcPr>
          <w:p>
            <w:r>
              <w:t>Machine Learning Model</w:t>
            </w:r>
          </w:p>
        </w:tc>
        <w:tc>
          <w:tcPr>
            <w:vAlign w:val="center"/>
          </w:tcPr>
          <w:p>
            <w:r>
              <w:t>No machine learning model is required.</w:t>
            </w:r>
          </w:p>
        </w:tc>
        <w:tc>
          <w:tcPr>
            <w:vAlign w:val="center"/>
          </w:tcPr>
          <w:p>
            <w:r>
              <w:t>Not applicable</w:t>
            </w:r>
          </w:p>
        </w:tc>
      </w:tr>
      <w:tr>
        <w:trPr>
          <w:cantSplit w:val="0"/>
          <w:trHeight w:val="489" w:hRule="atLeast"/>
          <w:tblHeader w:val="0"/>
        </w:trPr>
        <w:tc>
          <w:tcPr>
            <w:vAlign w:val="center"/>
          </w:tcPr>
          <w:p>
            <w:r>
              <w:t>11</w:t>
            </w:r>
          </w:p>
        </w:tc>
        <w:tc>
          <w:tcPr>
            <w:vAlign w:val="center"/>
          </w:tcPr>
          <w:p>
            <w:r>
              <w:t>Infrastructure (Server / Cloud)</w:t>
            </w:r>
          </w:p>
        </w:tc>
        <w:tc>
          <w:tcPr>
            <w:vAlign w:val="center"/>
          </w:tcPr>
          <w:p>
            <w:r>
              <w:t>The solution runs inside the ServiceNow instance as a cloud-based platform application.</w:t>
            </w:r>
          </w:p>
        </w:tc>
        <w:tc>
          <w:tcPr>
            <w:vAlign w:val="center"/>
          </w:tcPr>
          <w:p>
            <w:r>
              <w:t>ServiceNow Cloud Platform</w:t>
            </w:r>
          </w:p>
        </w:tc>
      </w:tr>
    </w:tbl>
    <w:p w:rsidR="00000000" w:rsidDel="00000000" w:rsidP="00000000" w:rsidRDefault="00000000" w:rsidRPr="00000000" w14:paraId="00000050">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51">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Table-2: Application Characteristics:</w:t>
      </w:r>
    </w:p>
    <w:tbl>
      <w:tblPr>
        <w:tblStyle w:val="Table3"/>
        <w:tblW w:w="14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3969"/>
        <w:gridCol w:w="5170"/>
        <w:gridCol w:w="4097"/>
        <w:tblGridChange w:id="0">
          <w:tblGrid>
            <w:gridCol w:w="826"/>
            <w:gridCol w:w="3969"/>
            <w:gridCol w:w="5170"/>
            <w:gridCol w:w="4097"/>
          </w:tblGrid>
        </w:tblGridChange>
      </w:tblGrid>
      <w:tr>
        <w:trPr>
          <w:cantSplit w:val="0"/>
          <w:trHeight w:val="539" w:hRule="atLeast"/>
          <w:tblHeader w:val="1"/>
        </w:trPr>
        <w:tc>
          <w:tcPr/>
          <w:p w:rsidR="00000000" w:rsidDel="00000000" w:rsidP="00000000" w:rsidRDefault="00000000" w:rsidRPr="00000000" w14:paraId="00000052">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S.No</w:t>
            </w:r>
          </w:p>
        </w:tc>
        <w:tc>
          <w:tcPr/>
          <w:p w:rsidR="00000000" w:rsidDel="00000000" w:rsidP="00000000" w:rsidRDefault="00000000" w:rsidRPr="00000000" w14:paraId="00000053">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Characteristics</w:t>
            </w:r>
          </w:p>
        </w:tc>
        <w:tc>
          <w:tcPr/>
          <w:p w:rsidR="00000000" w:rsidDel="00000000" w:rsidP="00000000" w:rsidRDefault="00000000" w:rsidRPr="00000000" w14:paraId="00000054">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Description</w:t>
            </w:r>
          </w:p>
        </w:tc>
        <w:tc>
          <w:tcPr/>
          <w:p w:rsidR="00000000" w:rsidDel="00000000" w:rsidP="00000000" w:rsidRDefault="00000000" w:rsidRPr="00000000" w14:paraId="00000055">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Technology </w:t>
            </w:r>
          </w:p>
        </w:tc>
      </w:tr>
      <w:tr>
        <w:trPr>
          <w:cantSplit w:val="0"/>
          <w:trHeight w:val="229" w:hRule="atLeast"/>
          <w:tblHeader w:val="0"/>
        </w:trPr>
        <w:tc>
          <w:tcPr>
            <w:vAlign w:val="center"/>
          </w:tcPr>
          <w:p>
            <w:r>
              <w:t>1</w:t>
            </w:r>
          </w:p>
        </w:tc>
        <w:tc>
          <w:tcPr>
            <w:vAlign w:val="center"/>
          </w:tcPr>
          <w:p>
            <w:r>
              <w:t>Open-Source Frameworks</w:t>
            </w:r>
          </w:p>
        </w:tc>
        <w:tc>
          <w:tcPr>
            <w:vAlign w:val="center"/>
          </w:tcPr>
          <w:p>
            <w:r>
              <w:t>No additional open-source framework is required for the core ACL configuration.</w:t>
            </w:r>
          </w:p>
        </w:tc>
        <w:tc>
          <w:tcPr>
            <w:vAlign w:val="center"/>
          </w:tcPr>
          <w:p>
            <w:r>
              <w:t>ServiceNow platform</w:t>
            </w:r>
          </w:p>
        </w:tc>
      </w:tr>
      <w:tr>
        <w:trPr>
          <w:cantSplit w:val="0"/>
          <w:trHeight w:val="229" w:hRule="atLeast"/>
          <w:tblHeader w:val="0"/>
        </w:trPr>
        <w:tc>
          <w:tcPr>
            <w:vAlign w:val="center"/>
          </w:tcPr>
          <w:p>
            <w:r>
              <w:t>2</w:t>
            </w:r>
          </w:p>
        </w:tc>
        <w:tc>
          <w:tcPr>
            <w:vAlign w:val="center"/>
          </w:tcPr>
          <w:p>
            <w:r>
              <w:t>Security Implementations</w:t>
            </w:r>
          </w:p>
        </w:tc>
        <w:tc>
          <w:tcPr>
            <w:vAlign w:val="center"/>
          </w:tcPr>
          <w:p>
            <w:r>
              <w:t>Role-based ACLs, Branch-based READ restriction, scripted access checks and administrator override.</w:t>
            </w:r>
          </w:p>
        </w:tc>
        <w:tc>
          <w:tcPr>
            <w:vAlign w:val="center"/>
          </w:tcPr>
          <w:p>
            <w:r>
              <w:t>ServiceNow ACL, JavaScript, security_admin</w:t>
            </w:r>
          </w:p>
        </w:tc>
      </w:tr>
      <w:tr>
        <w:trPr>
          <w:cantSplit w:val="0"/>
          <w:trHeight w:val="229" w:hRule="atLeast"/>
          <w:tblHeader w:val="0"/>
        </w:trPr>
        <w:tc>
          <w:tcPr>
            <w:vAlign w:val="center"/>
          </w:tcPr>
          <w:p>
            <w:r>
              <w:t>3</w:t>
            </w:r>
          </w:p>
        </w:tc>
        <w:tc>
          <w:tcPr>
            <w:vAlign w:val="center"/>
          </w:tcPr>
          <w:p>
            <w:r>
              <w:t>Scalable Architecture</w:t>
            </w:r>
          </w:p>
        </w:tc>
        <w:tc>
          <w:tcPr>
            <w:vAlign w:val="center"/>
          </w:tcPr>
          <w:p>
            <w:r>
              <w:t>Operation-specific ACLs allow the security model to be extended with more roles, conditions and tables.</w:t>
            </w:r>
          </w:p>
        </w:tc>
        <w:tc>
          <w:tcPr>
            <w:vAlign w:val="center"/>
          </w:tcPr>
          <w:p>
            <w:r>
              <w:t>ServiceNow ACL framework</w:t>
            </w:r>
          </w:p>
        </w:tc>
      </w:tr>
      <w:tr>
        <w:trPr>
          <w:cantSplit w:val="0"/>
          <w:trHeight w:val="229" w:hRule="atLeast"/>
          <w:tblHeader w:val="0"/>
        </w:trPr>
        <w:tc>
          <w:tcPr>
            <w:vAlign w:val="center"/>
          </w:tcPr>
          <w:p>
            <w:r>
              <w:t>4</w:t>
            </w:r>
          </w:p>
        </w:tc>
        <w:tc>
          <w:tcPr>
            <w:vAlign w:val="center"/>
          </w:tcPr>
          <w:p>
            <w:r>
              <w:t>Availability</w:t>
            </w:r>
          </w:p>
        </w:tc>
        <w:tc>
          <w:tcPr>
            <w:vAlign w:val="center"/>
          </w:tcPr>
          <w:p>
            <w:r>
              <w:t>The solution is available when the ServiceNow instance is available; access rules are evaluated by the platform.</w:t>
            </w:r>
          </w:p>
        </w:tc>
        <w:tc>
          <w:tcPr>
            <w:vAlign w:val="center"/>
          </w:tcPr>
          <w:p>
            <w:r>
              <w:t>ServiceNow Cloud Platform</w:t>
            </w:r>
          </w:p>
        </w:tc>
      </w:tr>
      <w:tr>
        <w:trPr>
          <w:cantSplit w:val="0"/>
          <w:trHeight w:val="229" w:hRule="atLeast"/>
          <w:tblHeader w:val="0"/>
        </w:trPr>
        <w:tc>
          <w:tcPr>
            <w:vAlign w:val="center"/>
          </w:tcPr>
          <w:p>
            <w:r>
              <w:t>5</w:t>
            </w:r>
          </w:p>
        </w:tc>
        <w:tc>
          <w:tcPr>
            <w:vAlign w:val="center"/>
          </w:tcPr>
          <w:p>
            <w:r>
              <w:t>Performance</w:t>
            </w:r>
          </w:p>
        </w:tc>
        <w:tc>
          <w:tcPr>
            <w:vAlign w:val="center"/>
          </w:tcPr>
          <w:p>
            <w:r>
              <w:t>The ACL scripts use lightweight role and field-value checks to decide access.</w:t>
            </w:r>
          </w:p>
        </w:tc>
        <w:tc>
          <w:tcPr>
            <w:vAlign w:val="center"/>
          </w:tcPr>
          <w:p>
            <w:r>
              <w:t>ServiceNow ACL / JavaScript</w:t>
            </w:r>
          </w:p>
        </w:tc>
      </w:tr>
    </w:tbl>
    <w:p w:rsidR="00000000" w:rsidDel="00000000" w:rsidP="00000000" w:rsidRDefault="00000000" w:rsidRPr="00000000" w14:paraId="0000006A">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6B">
      <w:pPr>
        <w:rPr>
          <w:rFonts w:ascii="Arial" w:cs="Arial" w:eastAsia="Arial" w:hAnsi="Arial"/>
          <w:b w:val="1"/>
        </w:rPr>
      </w:pPr>
      <w:r w:rsidDel="00000000" w:rsidR="00000000" w:rsidRPr="00000000">
        <w:rPr>
          <w:rtl w:val="0"/>
        </w:rPr>
      </w:r>
    </w:p>
    <w:p w:rsidR="00000000" w:rsidDel="00000000" w:rsidP="00000000" w:rsidRDefault="00000000" w:rsidRPr="00000000" w14:paraId="0000006C">
      <w:pPr>
        <w:rPr>
          <w:rFonts w:ascii="Arial" w:cs="Arial" w:eastAsia="Arial" w:hAnsi="Arial"/>
          <w:b w:val="1"/>
        </w:rPr>
      </w:pPr>
      <w:r w:rsidDel="00000000" w:rsidR="00000000" w:rsidRPr="00000000">
        <w:rPr>
          <w:rFonts w:ascii="Arial" w:cs="Arial" w:eastAsia="Arial" w:hAnsi="Arial"/>
          <w:b w:val="1"/>
          <w:rtl w:val="0"/>
        </w:rPr>
        <w:t xml:space="preserve">References:</w:t>
      </w:r>
    </w:p>
    <w:p w:rsidR="00000000" w:rsidDel="00000000" w:rsidP="00000000" w:rsidRDefault="00000000" w:rsidRPr="00000000" w14:paraId="0000006D">
      <w:pPr>
        <w:rPr>
          <w:rFonts w:ascii="Arial" w:cs="Arial" w:eastAsia="Arial" w:hAnsi="Arial"/>
          <w:b w:val="1"/>
        </w:rPr>
      </w:pPr>
      <w:hyperlink r:id="rId10">
        <w:r w:rsidDel="00000000" w:rsidR="00000000" w:rsidRPr="00000000">
          <w:rPr>
            <w:rFonts w:ascii="Arial" w:cs="Arial" w:eastAsia="Arial" w:hAnsi="Arial"/>
            <w:b w:val="1"/>
            <w:color w:val="0563c1"/>
            <w:u w:val="single"/>
            <w:rtl w:val="0"/>
          </w:rPr>
          <w:t xml:space="preserve">https://c4model.com/</w:t>
        </w:r>
      </w:hyperlink>
      <w:r w:rsidDel="00000000" w:rsidR="00000000" w:rsidRPr="00000000">
        <w:rPr>
          <w:rtl w:val="0"/>
        </w:rPr>
      </w:r>
    </w:p>
    <w:p w:rsidR="00000000" w:rsidDel="00000000" w:rsidP="00000000" w:rsidRDefault="00000000" w:rsidRPr="00000000" w14:paraId="0000006E">
      <w:pPr>
        <w:rPr>
          <w:rFonts w:ascii="Arial" w:cs="Arial" w:eastAsia="Arial" w:hAnsi="Arial"/>
          <w:b w:val="1"/>
        </w:rPr>
      </w:pPr>
      <w:hyperlink r:id="rId11">
        <w:r w:rsidDel="00000000" w:rsidR="00000000" w:rsidRPr="00000000">
          <w:rPr>
            <w:rFonts w:ascii="Arial" w:cs="Arial" w:eastAsia="Arial" w:hAnsi="Arial"/>
            <w:b w:val="1"/>
            <w:color w:val="0563c1"/>
            <w:u w:val="single"/>
            <w:rtl w:val="0"/>
          </w:rPr>
          <w:t xml:space="preserve">https://developer.ibm.com/patterns/online-order-processing-system-during-pandemic/</w:t>
        </w:r>
      </w:hyperlink>
      <w:r w:rsidDel="00000000" w:rsidR="00000000" w:rsidRPr="00000000">
        <w:rPr>
          <w:rtl w:val="0"/>
        </w:rPr>
      </w:r>
    </w:p>
    <w:p w:rsidR="00000000" w:rsidDel="00000000" w:rsidP="00000000" w:rsidRDefault="00000000" w:rsidRPr="00000000" w14:paraId="0000006F">
      <w:pPr>
        <w:rPr>
          <w:rFonts w:ascii="Arial" w:cs="Arial" w:eastAsia="Arial" w:hAnsi="Arial"/>
          <w:b w:val="1"/>
        </w:rPr>
      </w:pPr>
      <w:hyperlink r:id="rId12">
        <w:r w:rsidDel="00000000" w:rsidR="00000000" w:rsidRPr="00000000">
          <w:rPr>
            <w:rFonts w:ascii="Arial" w:cs="Arial" w:eastAsia="Arial" w:hAnsi="Arial"/>
            <w:b w:val="1"/>
            <w:color w:val="0563c1"/>
            <w:u w:val="single"/>
            <w:rtl w:val="0"/>
          </w:rPr>
          <w:t xml:space="preserve">https://www.ibm.com/cloud/architecture</w:t>
        </w:r>
      </w:hyperlink>
      <w:r w:rsidDel="00000000" w:rsidR="00000000" w:rsidRPr="00000000">
        <w:rPr>
          <w:rtl w:val="0"/>
        </w:rPr>
      </w:r>
    </w:p>
    <w:p w:rsidR="00000000" w:rsidDel="00000000" w:rsidP="00000000" w:rsidRDefault="00000000" w:rsidRPr="00000000" w14:paraId="00000070">
      <w:pPr>
        <w:rPr>
          <w:rFonts w:ascii="Arial" w:cs="Arial" w:eastAsia="Arial" w:hAnsi="Arial"/>
          <w:b w:val="1"/>
        </w:rPr>
      </w:pPr>
      <w:hyperlink r:id="rId13">
        <w:r w:rsidDel="00000000" w:rsidR="00000000" w:rsidRPr="00000000">
          <w:rPr>
            <w:rFonts w:ascii="Arial" w:cs="Arial" w:eastAsia="Arial" w:hAnsi="Arial"/>
            <w:b w:val="1"/>
            <w:color w:val="0563c1"/>
            <w:u w:val="single"/>
            <w:rtl w:val="0"/>
          </w:rPr>
          <w:t xml:space="preserve">https://aws.amazon.com/architecture</w:t>
        </w:r>
      </w:hyperlink>
      <w:r w:rsidDel="00000000" w:rsidR="00000000" w:rsidRPr="00000000">
        <w:rPr>
          <w:rtl w:val="0"/>
        </w:rPr>
      </w:r>
    </w:p>
    <w:p w:rsidR="00000000" w:rsidDel="00000000" w:rsidP="00000000" w:rsidRDefault="00000000" w:rsidRPr="00000000" w14:paraId="00000071">
      <w:pPr>
        <w:rPr>
          <w:rFonts w:ascii="Arial" w:cs="Arial" w:eastAsia="Arial" w:hAnsi="Arial"/>
          <w:b w:val="1"/>
        </w:rPr>
      </w:pPr>
      <w:hyperlink r:id="rId14">
        <w:r w:rsidDel="00000000" w:rsidR="00000000" w:rsidRPr="00000000">
          <w:rPr>
            <w:rFonts w:ascii="Arial" w:cs="Arial" w:eastAsia="Arial" w:hAnsi="Arial"/>
            <w:b w:val="1"/>
            <w:color w:val="0563c1"/>
            <w:u w:val="single"/>
            <w:rtl w:val="0"/>
          </w:rPr>
          <w:t xml:space="preserve">https://medium.com/the-internal-startup/how-to-draw-useful-technical-architecture-diagrams-2d20c9fda90d</w:t>
        </w:r>
      </w:hyperlink>
      <w:r w:rsidDel="00000000" w:rsidR="00000000" w:rsidRPr="00000000">
        <w:rPr>
          <w:rtl w:val="0"/>
        </w:rPr>
      </w:r>
    </w:p>
    <w:p w:rsidR="00000000" w:rsidDel="00000000" w:rsidP="00000000" w:rsidRDefault="00000000" w:rsidRPr="00000000" w14:paraId="00000072">
      <w:pPr>
        <w:rPr>
          <w:rFonts w:ascii="Arial" w:cs="Arial" w:eastAsia="Arial" w:hAnsi="Arial"/>
          <w:b w:val="1"/>
        </w:rPr>
      </w:pPr>
      <w:r w:rsidDel="00000000" w:rsidR="00000000" w:rsidRPr="00000000">
        <w:rPr>
          <w:rtl w:val="0"/>
        </w:rPr>
      </w:r>
    </w:p>
    <w:p w:rsidR="00000000" w:rsidDel="00000000" w:rsidP="00000000" w:rsidRDefault="00000000" w:rsidRPr="00000000" w14:paraId="00000073">
      <w:pPr>
        <w:rPr>
          <w:rFonts w:ascii="Arial" w:cs="Arial" w:eastAsia="Arial" w:hAnsi="Arial"/>
          <w:b w:val="1"/>
        </w:rPr>
      </w:pPr>
      <w:r w:rsidDel="00000000" w:rsidR="00000000" w:rsidRPr="00000000">
        <w:rPr>
          <w:rtl w:val="0"/>
        </w:rPr>
      </w:r>
    </w:p>
    <w:p w:rsidR="00000000" w:rsidDel="00000000" w:rsidP="00000000" w:rsidRDefault="00000000" w:rsidRPr="00000000" w14:paraId="00000074">
      <w:pPr>
        <w:rPr>
          <w:rFonts w:ascii="Arial" w:cs="Arial" w:eastAsia="Arial" w:hAnsi="Arial"/>
          <w:b w:val="1"/>
        </w:rPr>
      </w:pPr>
      <w:r w:rsidDel="00000000" w:rsidR="00000000" w:rsidRPr="00000000">
        <w:rPr>
          <w:rtl w:val="0"/>
        </w:rPr>
      </w:r>
    </w:p>
    <w:p>
      <w:pPr>
        <w:pStyle w:val="Heading1"/>
      </w:pPr>
      <w:r>
        <w:t>Project 5 – Technical Architecture Summary</w:t>
      </w:r>
    </w:p>
    <w:p>
      <w:r>
        <w:t>The solution uses the ServiceNow platform as the application, data and execution environment. Users access Institution Details through the ServiceNow interface. ACL rules evaluate roles and the Branch field, then allow or deny READ, CREATE, WRITE and DELETE operations.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ibm.com/patterns/online-order-processing-system-during-pandemic/" TargetMode="External"/><Relationship Id="rId10" Type="http://schemas.openxmlformats.org/officeDocument/2006/relationships/hyperlink" Target="https://c4model.com/" TargetMode="External"/><Relationship Id="rId13" Type="http://schemas.openxmlformats.org/officeDocument/2006/relationships/hyperlink" Target="https://aws.amazon.com/architecture" TargetMode="External"/><Relationship Id="rId12" Type="http://schemas.openxmlformats.org/officeDocument/2006/relationships/hyperlink" Target="https://www.ibm.com/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um.com/the-internal-startup/how-to-draw-useful-technical-architecture-diagrams-2d20c9fda90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