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  <w:vAlign w:val="center"/>
          </w:tcPr>
          <w:p>
            <w:r/>
            <w:r>
              <w:rPr>
                <w:b w:val="0"/>
                <w:sz w:val="20"/>
              </w:rPr>
              <w:t>06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center"/>
          </w:tcPr>
          <w:p>
            <w:r/>
            <w:r>
              <w:rPr>
                <w:b w:val="0"/>
                <w:sz w:val="20"/>
              </w:rPr>
              <w:t>Script-Controlled ACL – Restrict Record Access Based on Field Value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Restrict access to Institution Details records based on the user role and the Branch field, while providing separate permissions for READ, CREATE, WRITE, and DELETE operations.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Configure ServiceNow record ACLs for the custom Institution Details table. Use role-based ACLs (bb1–bb4) and a Branch = EEE condition for READ access, with separate ACLs for CREATE, WRITE, and DELETE operations. Verify behavior by impersonating users with different role combinations.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The solution combines role-based operation control with a field-based record restriction. READ access is tied to the EEE Branch value, while CREATE, WRITE, and DELETE permissions are independently controlled by dedicated roles.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Protects student/institution information from unauthorized access and reduces the risk of unintended changes or deletion. Authorized users can perform the work required by their assigned roles.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Not applicable to this academic ServiceNow administration project. The project demonstrates an access-control solution rather than a commercial product or revenue model.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>
            <w:r/>
            <w:r>
              <w:rPr>
                <w:b w:val="0"/>
                <w:sz w:val="20"/>
              </w:rPr>
              <w:t>The ACL pattern can be extended by adding additional roles, branch conditions, and operation-specific rules as the number of users, branches, and records grows.</w:t>
            </w:r>
          </w:p>
        </w:tc>
      </w:tr>
    </w:tbl>
    <w:p w14:paraId="5BC2B474" w14:textId="77777777" w:rsidR="00604E29" w:rsidRDefault="00604E29"/>
    <w:p>
      <w:r>
        <w:br w:type="page"/>
      </w:r>
    </w:p>
    <w:p>
      <w:pPr>
        <w:pStyle w:val="Heading1"/>
      </w:pPr>
      <w:r>
        <w:rPr>
          <w:b/>
        </w:rPr>
        <w:t>Project 5 – Proposed Solution Details</w:t>
      </w:r>
    </w:p>
    <w:p>
      <w:pPr>
        <w:pStyle w:val="Heading2"/>
      </w:pPr>
      <w:r>
        <w:rPr>
          <w:b/>
        </w:rPr>
        <w:t>Access Control Model</w:t>
      </w:r>
    </w:p>
    <w:p>
      <w:r>
        <w:t>• bb1 – READ: allows authorized users to view EEE branch records through the READ ACL and its Branch condition.</w:t>
      </w:r>
    </w:p>
    <w:p>
      <w:r>
        <w:t>• bb2 – CREATE: controls the ability to create new Institution Details records.</w:t>
      </w:r>
    </w:p>
    <w:p>
      <w:r>
        <w:t>• bb3 – WRITE: controls the ability to edit records.</w:t>
      </w:r>
    </w:p>
    <w:p>
      <w:r>
        <w:t>• bb4 – DELETE: controls the ability to delete records.</w:t>
      </w:r>
    </w:p>
    <w:p>
      <w:r>
        <w:t>• Admin: administrator users are allowed full access by the READ script and are used for administration and verification.</w:t>
      </w:r>
    </w:p>
    <w:p>
      <w:pPr>
        <w:pStyle w:val="Heading2"/>
      </w:pPr>
      <w:r>
        <w:rPr>
          <w:b/>
        </w:rPr>
        <w:t>Verification Approach</w:t>
      </w:r>
    </w:p>
    <w:p>
      <w:r>
        <w:t>1. Impersonate the EEE user and verify that only EEE records are visible.</w:t>
      </w:r>
    </w:p>
    <w:p>
      <w:r>
        <w:t>2. Verify that users without the required role cannot access protected records.</w:t>
      </w:r>
    </w:p>
    <w:p>
      <w:r>
        <w:t>3. Verify CREATE access for users with bb1 and bb2.</w:t>
      </w:r>
    </w:p>
    <w:p>
      <w:r>
        <w:t>4. Verify WRITE access for users with bb1, bb2, and bb3.</w:t>
      </w:r>
    </w:p>
    <w:p>
      <w:r>
        <w:t>5. Verify DELETE access for users with bb1, bb2, bb3, and bb4.</w:t>
      </w:r>
    </w:p>
    <w:p>
      <w:r>
        <w:t>6. Use an administrator account to verify unrestricted administrative access.</w:t>
      </w:r>
    </w:p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