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83D2" w14:textId="539EBA55" w:rsidR="00BF627A" w:rsidRDefault="00FD20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</w:t>
      </w:r>
      <w:r w:rsidRPr="00FD20C9">
        <w:rPr>
          <w:b/>
          <w:bCs/>
          <w:sz w:val="32"/>
          <w:szCs w:val="32"/>
        </w:rPr>
        <w:t>oan Default Risk Analysis</w:t>
      </w:r>
    </w:p>
    <w:p w14:paraId="5B793A39" w14:textId="3C4C6BFB" w:rsidR="00FD20C9" w:rsidRDefault="00FD20C9">
      <w:pPr>
        <w:rPr>
          <w:sz w:val="26"/>
          <w:szCs w:val="26"/>
        </w:rPr>
      </w:pPr>
      <w:r>
        <w:rPr>
          <w:sz w:val="26"/>
          <w:szCs w:val="26"/>
        </w:rPr>
        <w:t xml:space="preserve">Insights </w:t>
      </w:r>
    </w:p>
    <w:p w14:paraId="10206BF8" w14:textId="3A2C6B4D" w:rsidR="00FD20C9" w:rsidRDefault="00FD20C9" w:rsidP="00FD20C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FD20C9">
        <w:rPr>
          <w:sz w:val="26"/>
          <w:szCs w:val="26"/>
        </w:rPr>
        <w:t xml:space="preserve">We found that the medium credit score and medium income person </w:t>
      </w:r>
      <w:r w:rsidRPr="00FD20C9">
        <w:rPr>
          <w:sz w:val="26"/>
          <w:szCs w:val="26"/>
        </w:rPr>
        <w:t>default</w:t>
      </w:r>
      <w:r w:rsidRPr="00FD20C9">
        <w:rPr>
          <w:sz w:val="26"/>
          <w:szCs w:val="26"/>
        </w:rPr>
        <w:t xml:space="preserve"> the most, which is 11,850, and the revenue loss is almost 3.4 billion, which is the largest segment. This matters because medium credit score + medium income borrowers form the largest portfolio segment and losing them hurts more than any </w:t>
      </w:r>
      <w:r w:rsidRPr="00FD20C9">
        <w:rPr>
          <w:sz w:val="26"/>
          <w:szCs w:val="26"/>
        </w:rPr>
        <w:t>group.</w:t>
      </w:r>
      <w:r w:rsidRPr="00FD20C9">
        <w:rPr>
          <w:sz w:val="26"/>
          <w:szCs w:val="26"/>
        </w:rPr>
        <w:t xml:space="preserve"> The business should tighten approval rules for medium credit score and medium income customer.</w:t>
      </w:r>
    </w:p>
    <w:p w14:paraId="00E82358" w14:textId="77777777" w:rsidR="00FD20C9" w:rsidRDefault="00FD20C9" w:rsidP="00FD20C9">
      <w:pPr>
        <w:pStyle w:val="ListParagraph"/>
        <w:rPr>
          <w:sz w:val="26"/>
          <w:szCs w:val="26"/>
        </w:rPr>
      </w:pPr>
    </w:p>
    <w:p w14:paraId="5F3FAFBB" w14:textId="535A733F" w:rsidR="00FD20C9" w:rsidRDefault="00FD20C9" w:rsidP="00FD20C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FD20C9">
        <w:rPr>
          <w:sz w:val="26"/>
          <w:szCs w:val="26"/>
        </w:rPr>
        <w:t>I found that default rates are flat across both debt and open account bands: debt bands ranged from 24.8% (Low) to 26.0% (Medium) to 24.1% (High), and account bands ranged from 24.0% (Low) to 24.3% (Medium) to 25.6% (High). This matters because neither monthly debt nor number of open accounts meaningfully predicts defaults. The business should not waste resources here and instead focus credit score or income</w:t>
      </w:r>
      <w:r>
        <w:rPr>
          <w:sz w:val="26"/>
          <w:szCs w:val="26"/>
        </w:rPr>
        <w:t>.</w:t>
      </w:r>
    </w:p>
    <w:p w14:paraId="09341D9E" w14:textId="77777777" w:rsidR="00FD20C9" w:rsidRPr="00FD20C9" w:rsidRDefault="00FD20C9" w:rsidP="00FD20C9">
      <w:pPr>
        <w:pStyle w:val="ListParagraph"/>
        <w:rPr>
          <w:sz w:val="26"/>
          <w:szCs w:val="26"/>
        </w:rPr>
      </w:pPr>
    </w:p>
    <w:p w14:paraId="4AE3334E" w14:textId="4CB01447" w:rsidR="00FD20C9" w:rsidRPr="00FD20C9" w:rsidRDefault="00FD20C9" w:rsidP="00FD20C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FD20C9">
        <w:rPr>
          <w:sz w:val="26"/>
          <w:szCs w:val="26"/>
        </w:rPr>
        <w:t>I have found that rent +debt consolidation alone accounts for 2.56 billion in default, which is a total loss of revenue of 34.8%. This matters because this is one of the largest loss-driving segments. The business should prioritize having strict policies and should monitor and tailor repayment support for debt consolidation loans,</w:t>
      </w:r>
      <w:r>
        <w:rPr>
          <w:sz w:val="26"/>
          <w:szCs w:val="26"/>
        </w:rPr>
        <w:t xml:space="preserve"> </w:t>
      </w:r>
      <w:r w:rsidRPr="00FD20C9">
        <w:rPr>
          <w:sz w:val="26"/>
          <w:szCs w:val="26"/>
        </w:rPr>
        <w:t>repayment support such as restructuring payment plans before the default</w:t>
      </w:r>
      <w:r>
        <w:rPr>
          <w:sz w:val="26"/>
          <w:szCs w:val="26"/>
        </w:rPr>
        <w:t>.</w:t>
      </w:r>
    </w:p>
    <w:sectPr w:rsidR="00FD20C9" w:rsidRPr="00FD2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052C7"/>
    <w:multiLevelType w:val="hybridMultilevel"/>
    <w:tmpl w:val="CF84AB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17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C9"/>
    <w:rsid w:val="001803B9"/>
    <w:rsid w:val="00BF627A"/>
    <w:rsid w:val="00C82DD2"/>
    <w:rsid w:val="00F12DD5"/>
    <w:rsid w:val="00FD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F828"/>
  <w15:chartTrackingRefBased/>
  <w15:docId w15:val="{11A67150-8CB3-4654-AA76-4E8CB478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samala</dc:creator>
  <cp:keywords/>
  <dc:description/>
  <cp:lastModifiedBy>srinith samala</cp:lastModifiedBy>
  <cp:revision>1</cp:revision>
  <dcterms:created xsi:type="dcterms:W3CDTF">2026-06-11T15:25:00Z</dcterms:created>
  <dcterms:modified xsi:type="dcterms:W3CDTF">2026-06-11T15:29:00Z</dcterms:modified>
</cp:coreProperties>
</file>