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sz w:val="56"/>
          <w:szCs w:val="56"/>
        </w:rPr>
        <w:t xml:space="preserve">Customer Support Ticket Resolution Pipeline</w:t>
      </w:r>
    </w:p>
    <w:p>
      <w:pPr>
        <w:spacing w:after="800"/>
        <w:jc w:val="center"/>
      </w:pPr>
      <w:r>
        <w:rPr>
          <w:color w:val="555555"/>
          <w:sz w:val="32"/>
          <w:szCs w:val="32"/>
        </w:rPr>
        <w:t xml:space="preserve">Project Documentation</w:t>
      </w:r>
    </w:p>
    <w:p>
      <w:pPr>
        <w:spacing w:after="2000"/>
        <w:jc w:val="center"/>
      </w:pPr>
      <w:r>
        <w:rPr>
          <w:i/>
          <w:iCs/>
          <w:color w:val="777777"/>
          <w:sz w:val="24"/>
          <w:szCs w:val="24"/>
        </w:rPr>
        <w:t xml:space="preserve">Databricks Lakehouse Implementation — Bronze / Silver / Gold Medallion Architecture</w:t>
      </w:r>
    </w:p>
    <w:p>
      <w:pPr>
        <w:spacing w:after="100"/>
        <w:jc w:val="center"/>
      </w:pPr>
      <w:r>
        <w:rPr>
          <w:sz w:val="22"/>
          <w:szCs w:val="22"/>
        </w:rPr>
        <w:t xml:space="preserve">Prepared for: Customer Support Efficiency Review</w:t>
      </w:r>
    </w:p>
    <w:p>
      <w:pPr>
        <w:spacing w:after="100"/>
        <w:jc w:val="center"/>
      </w:pPr>
      <w:r>
        <w:rPr>
          <w:sz w:val="22"/>
          <w:szCs w:val="22"/>
        </w:rPr>
        <w:t xml:space="preserve">Platform: Databricks (Unity Catalog Volumes)</w:t>
      </w:r>
    </w:p>
    <w:p>
      <w:pPr>
        <w:sectPr>
          <w:pgSz w:w="12240" w:h="15840" w:orient="portrait"/>
          <w:pgMar w:top="1440" w:right="1440" w:bottom="1440" w:left="1440" w:header="708" w:footer="708" w:gutter="0"/>
          <w:pgNumType/>
          <w:docGrid w:linePitch="360"/>
        </w:sectPr>
      </w:pP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150" w:before="300"/>
      </w:pPr>
      <w:r>
        <w:t xml:space="preserve">1. Executive Summary</w:t>
      </w:r>
    </w:p>
    <w:p>
      <w:pPr>
        <w:spacing w:after="120"/>
      </w:pPr>
      <w:r>
        <w:t xml:space="preserve">This project implements an end-to-end data pipeline that transforms raw, unstructured customer support ticket logs into a clean, query-ready dataset for leadership reporting. Over a two-day Customer Support Efficiency Review, agent-level ticket records were captured in CSV form. This pipeline ingests those records from cloud storage, validates and cleans them, applies the company's resolution business rules, and produces aggregated KPIs answering four specific leadership questions.</w:t>
      </w:r>
    </w:p>
    <w:p>
      <w:pPr>
        <w:spacing w:after="120"/>
      </w:pPr>
      <w:r>
        <w:t xml:space="preserve">The solution is built on Databricks using PySpark and Delta Lake, following the Bronze / Silver / Gold medallion architecture, and is orchestrated as a multi-notebook Databricks Job for repeatable, one-click execution.</w:t>
      </w:r>
    </w:p>
    <w:p>
      <w:pPr>
        <w:pStyle w:val="Heading1"/>
        <w:spacing w:after="150" w:before="300"/>
      </w:pPr>
      <w:r>
        <w:t xml:space="preserve">2. Business Problem</w:t>
      </w:r>
    </w:p>
    <w:p>
      <w:pPr>
        <w:spacing w:after="120"/>
      </w:pPr>
      <w:r>
        <w:t xml:space="preserve">Leadership required a structured dataset to answer four business questions that could not be answered directly from the raw CSV exports:</w:t>
      </w:r>
    </w:p>
    <w:p>
      <w:pPr>
        <w:pStyle w:val="ListParagraph"/>
        <w:numPr>
          <w:ilvl w:val="0"/>
          <w:numId w:val="1"/>
        </w:numPr>
        <w:spacing w:after="60"/>
      </w:pPr>
      <w:r>
        <w:t xml:space="preserve">Ticket resolution rates across the team hierarchy (Team Leads TL01–TL08)</w:t>
      </w:r>
    </w:p>
    <w:p>
      <w:pPr>
        <w:pStyle w:val="ListParagraph"/>
        <w:numPr>
          <w:ilvl w:val="0"/>
          <w:numId w:val="1"/>
        </w:numPr>
        <w:spacing w:after="60"/>
      </w:pPr>
      <w:r>
        <w:t xml:space="preserve">Per-agent performance broken out by Day 1 and Day 2</w:t>
      </w:r>
    </w:p>
    <w:p>
      <w:pPr>
        <w:pStyle w:val="ListParagraph"/>
        <w:numPr>
          <w:ilvl w:val="0"/>
          <w:numId w:val="1"/>
        </w:numPr>
        <w:spacing w:after="60"/>
      </w:pPr>
      <w:r>
        <w:t xml:space="preserve">Compliance with a resolution quality threshold (&gt;15 minutes to count as a genuine resolution)</w:t>
      </w:r>
    </w:p>
    <w:p>
      <w:pPr>
        <w:pStyle w:val="ListParagraph"/>
        <w:numPr>
          <w:ilvl w:val="0"/>
          <w:numId w:val="1"/>
        </w:numPr>
        <w:spacing w:after="60"/>
      </w:pPr>
      <w:r>
        <w:t xml:space="preserve">Identification of agents who carried over unresolved work from Day 1 into Day 2</w:t>
      </w:r>
    </w:p>
    <w:p>
      <w:pPr>
        <w:spacing w:after="120"/>
      </w:pPr>
      <w:r>
        <w:t xml:space="preserve">The raw data could not answer these questions because it was split across two files, contained invalid/out-of-scope records, stored resolution time as text, and had no link between a ticket and the agent's team hierarchy.</w:t>
      </w:r>
    </w:p>
    <w:p>
      <w:pPr>
        <w:pStyle w:val="Heading1"/>
        <w:spacing w:after="150" w:before="300"/>
      </w:pPr>
      <w:r>
        <w:t xml:space="preserve">3. Business Rules Implemented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4472C4" w:val="clear"/>
          </w:tcPr>
          <w:p>
            <w:r>
              <w:rPr>
                <w:b/>
                <w:bCs/>
                <w:color w:val="FFFFFF"/>
                <w:sz w:val="20"/>
                <w:szCs w:val="20"/>
              </w:rPr>
              <w:t xml:space="preserve">Rule</w:t>
            </w:r>
          </w:p>
        </w:tc>
        <w:tc>
          <w:tcPr>
            <w:tcW w:type="dxa" w:w="6300"/>
            <w:shd w:fill="4472C4" w:val="clear"/>
          </w:tcPr>
          <w:p>
            <w:r>
              <w:rPr>
                <w:b/>
                <w:bCs/>
                <w:color w:val="FFFFFF"/>
                <w:sz w:val="20"/>
                <w:szCs w:val="20"/>
              </w:rPr>
              <w:t xml:space="preserve">Definition</w:t>
            </w:r>
          </w:p>
        </w:tc>
      </w:tr>
      <w:tr>
        <w:tc>
          <w:tcPr>
            <w:tcW w:type="dxa" w:w="3200"/>
          </w:tcPr>
          <w:p>
            <w:r>
              <w:rPr>
                <w:b w:val="false"/>
                <w:bCs w:val="false"/>
                <w:color w:val="000000"/>
                <w:sz w:val="20"/>
                <w:szCs w:val="20"/>
              </w:rPr>
              <w:t xml:space="preserve">Successful Resolution</w:t>
            </w:r>
          </w:p>
        </w:tc>
        <w:tc>
          <w:tcPr>
            <w:tcW w:type="dxa" w:w="6300"/>
          </w:tcPr>
          <w:p>
            <w:r>
              <w:rPr>
                <w:b w:val="false"/>
                <w:bCs w:val="false"/>
                <w:color w:val="000000"/>
                <w:sz w:val="20"/>
                <w:szCs w:val="20"/>
              </w:rPr>
              <w:t xml:space="preserve">Status = "Resolved" AND resolution time &gt; 15 minutes</w:t>
            </w:r>
          </w:p>
        </w:tc>
      </w:tr>
      <w:tr>
        <w:tc>
          <w:tcPr>
            <w:tcW w:type="dxa" w:w="3200"/>
          </w:tcPr>
          <w:p>
            <w:r>
              <w:rPr>
                <w:b w:val="false"/>
                <w:bCs w:val="false"/>
                <w:color w:val="000000"/>
                <w:sz w:val="20"/>
                <w:szCs w:val="20"/>
              </w:rPr>
              <w:t xml:space="preserve">Resolution Time Format</w:t>
            </w:r>
          </w:p>
        </w:tc>
        <w:tc>
          <w:tcPr>
            <w:tcW w:type="dxa" w:w="6300"/>
          </w:tcPr>
          <w:p>
            <w:r>
              <w:rPr>
                <w:b w:val="false"/>
                <w:bCs w:val="false"/>
                <w:color w:val="000000"/>
                <w:sz w:val="20"/>
                <w:szCs w:val="20"/>
              </w:rPr>
              <w:t xml:space="preserve">Text format Xh Xm Xs, converted to total decimal minutes</w:t>
            </w:r>
          </w:p>
        </w:tc>
      </w:tr>
      <w:tr>
        <w:tc>
          <w:tcPr>
            <w:tcW w:type="dxa" w:w="3200"/>
          </w:tcPr>
          <w:p>
            <w:r>
              <w:rPr>
                <w:b w:val="false"/>
                <w:bCs w:val="false"/>
                <w:color w:val="000000"/>
                <w:sz w:val="20"/>
                <w:szCs w:val="20"/>
              </w:rPr>
              <w:t xml:space="preserve">Rounding Rule</w:t>
            </w:r>
          </w:p>
        </w:tc>
        <w:tc>
          <w:tcPr>
            <w:tcW w:type="dxa" w:w="6300"/>
          </w:tcPr>
          <w:p>
            <w:r>
              <w:rPr>
                <w:b w:val="false"/>
                <w:bCs w:val="false"/>
                <w:color w:val="000000"/>
                <w:sz w:val="20"/>
                <w:szCs w:val="20"/>
              </w:rPr>
              <w:t xml:space="preserve">Seconds &gt;= 30 round up to the next full minute; otherwise dropped</w:t>
            </w:r>
          </w:p>
        </w:tc>
      </w:tr>
      <w:tr>
        <w:tc>
          <w:tcPr>
            <w:tcW w:type="dxa" w:w="3200"/>
          </w:tcPr>
          <w:p>
            <w:r>
              <w:rPr>
                <w:b w:val="false"/>
                <w:bCs w:val="false"/>
                <w:color w:val="000000"/>
                <w:sz w:val="20"/>
                <w:szCs w:val="20"/>
              </w:rPr>
              <w:t xml:space="preserve">Day 2 Carry-over Rule</w:t>
            </w:r>
          </w:p>
        </w:tc>
        <w:tc>
          <w:tcPr>
            <w:tcW w:type="dxa" w:w="6300"/>
          </w:tcPr>
          <w:p>
            <w:r>
              <w:rPr>
                <w:b w:val="false"/>
                <w:bCs w:val="false"/>
                <w:color w:val="000000"/>
                <w:sz w:val="20"/>
                <w:szCs w:val="20"/>
              </w:rPr>
              <w:t xml:space="preserve">Agents who succeeded on Day 1 are excluded from Day 2 results</w:t>
            </w:r>
          </w:p>
        </w:tc>
      </w:tr>
      <w:tr>
        <w:tc>
          <w:tcPr>
            <w:tcW w:type="dxa" w:w="3200"/>
          </w:tcPr>
          <w:p>
            <w:r>
              <w:rPr>
                <w:b w:val="false"/>
                <w:bCs w:val="false"/>
                <w:color w:val="000000"/>
                <w:sz w:val="20"/>
                <w:szCs w:val="20"/>
              </w:rPr>
              <w:t xml:space="preserve">Scope Filter</w:t>
            </w:r>
          </w:p>
        </w:tc>
        <w:tc>
          <w:tcPr>
            <w:tcW w:type="dxa" w:w="6300"/>
          </w:tcPr>
          <w:p>
            <w:r>
              <w:rPr>
                <w:b w:val="false"/>
                <w:bCs w:val="false"/>
                <w:color w:val="000000"/>
                <w:sz w:val="20"/>
                <w:szCs w:val="20"/>
              </w:rPr>
              <w:t xml:space="preserve">Only agents reporting to Team Leads TL01-TL08 are included</w:t>
            </w:r>
          </w:p>
        </w:tc>
      </w:tr>
    </w:tbl>
    <w:p>
      <w:pPr>
        <w:pStyle w:val="Heading1"/>
        <w:spacing w:after="150" w:before="300"/>
      </w:pPr>
      <w:r>
        <w:t xml:space="preserve">4. Architecture Overview</w:t>
      </w:r>
    </w:p>
    <w:p>
      <w:pPr>
        <w:spacing w:after="120"/>
      </w:pPr>
      <w:r>
        <w:t xml:space="preserve">The pipeline follows the Bronze / Silver / Gold medallion pattern, split across three Databricks notebooks orchestrated by a Databricks Job:</w:t>
      </w:r>
    </w:p>
    <w:p>
      <w:pPr>
        <w:pStyle w:val="ListParagraph"/>
        <w:numPr>
          <w:ilvl w:val="0"/>
          <w:numId w:val="1"/>
        </w:numPr>
        <w:spacing w:after="60"/>
      </w:pPr>
      <w:r>
        <w:t xml:space="preserve">00_config — shared constants: database name, table names, storage volume path, common imports</w:t>
      </w:r>
    </w:p>
    <w:p>
      <w:pPr>
        <w:pStyle w:val="ListParagraph"/>
        <w:numPr>
          <w:ilvl w:val="0"/>
          <w:numId w:val="1"/>
        </w:numPr>
        <w:spacing w:after="60"/>
      </w:pPr>
      <w:r>
        <w:t xml:space="preserve">01_bronze_ingestion — reads raw CSVs from Unity Catalog Volume storage, writes Bronze Delta tables</w:t>
      </w:r>
    </w:p>
    <w:p>
      <w:pPr>
        <w:pStyle w:val="ListParagraph"/>
        <w:numPr>
          <w:ilvl w:val="0"/>
          <w:numId w:val="1"/>
        </w:numPr>
        <w:spacing w:after="60"/>
      </w:pPr>
      <w:r>
        <w:t xml:space="preserve">02_silver_transformation — cleans, joins, filters, and applies business rules, writes Silver Delta tables</w:t>
      </w:r>
    </w:p>
    <w:p>
      <w:pPr>
        <w:pStyle w:val="ListParagraph"/>
        <w:numPr>
          <w:ilvl w:val="0"/>
          <w:numId w:val="1"/>
        </w:numPr>
        <w:spacing w:after="60"/>
      </w:pPr>
      <w:r>
        <w:t xml:space="preserve">03_gold_aggregation — computes final KPIs, writes Gold Delta tables for reporting</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8"/>
          <w:szCs w:val="18"/>
        </w:rPr>
        <w:t xml:space="preserve">Raw CSVs (Volume Storage)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[01_bronze_ingestion]  -&gt;  bronze_profiles, bronze_day1, bronze_day2</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[02_silver_transformation]  -&gt;  silver_day1, silver_day2</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[03_gold_aggregation]  -&gt;  gold_team_performance, gold_agent_performance,</w:t>
      </w:r>
      <w:r>
        <w:rPr>
          <w:rFonts w:ascii="Consolas" w:cs="Consolas" w:eastAsia="Consolas" w:hAnsi="Consolas"/>
          <w:sz w:val="18"/>
          <w:szCs w:val="18"/>
        </w:rPr>
        <w:br/>
        <w:t xml:space="preserve">                              gold_category_performance, gold_summary</w:t>
      </w:r>
    </w:p>
    <w:p>
      <w:pPr>
        <w:pStyle w:val="Heading1"/>
        <w:spacing w:after="150" w:before="300"/>
      </w:pPr>
      <w:r>
        <w:t xml:space="preserve">5. Data Sources</w:t>
      </w:r>
    </w:p>
    <w:p>
      <w:pPr>
        <w:pStyle w:val="Heading2"/>
        <w:spacing w:after="120" w:before="250"/>
      </w:pPr>
      <w:r>
        <w:t xml:space="preserve">5.1 Source Files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300"/>
      </w:tblGrid>
      <w:tr>
        <w:trPr>
          <w:tblHeader/>
        </w:trPr>
        <w:tc>
          <w:tcPr>
            <w:tcW w:type="dxa" w:w="2200"/>
            <w:shd w:fill="4472C4" w:val="clear"/>
          </w:tcPr>
          <w:p>
            <w:r>
              <w:rPr>
                <w:b/>
                <w:bCs/>
                <w:color w:val="FFFFFF"/>
                <w:sz w:val="20"/>
                <w:szCs w:val="20"/>
              </w:rPr>
              <w:t xml:space="preserve">File</w:t>
            </w:r>
          </w:p>
        </w:tc>
        <w:tc>
          <w:tcPr>
            <w:tcW w:type="dxa" w:w="4000"/>
            <w:shd w:fill="4472C4" w:val="clear"/>
          </w:tcPr>
          <w:p>
            <w:r>
              <w:rPr>
                <w:b/>
                <w:bCs/>
                <w:color w:val="FFFFFF"/>
                <w:sz w:val="20"/>
                <w:szCs w:val="20"/>
              </w:rPr>
              <w:t xml:space="preserve">Description</w:t>
            </w:r>
          </w:p>
        </w:tc>
        <w:tc>
          <w:tcPr>
            <w:tcW w:type="dxa" w:w="3300"/>
            <w:shd w:fill="4472C4" w:val="clear"/>
          </w:tcPr>
          <w:p>
            <w:r>
              <w:rPr>
                <w:b/>
                <w:bCs/>
                <w:color w:val="FFFFFF"/>
                <w:sz w:val="20"/>
                <w:szCs w:val="20"/>
              </w:rPr>
              <w:t xml:space="preserve">Format Notes</w:t>
            </w:r>
          </w:p>
        </w:tc>
      </w:tr>
      <w:tr>
        <w:tc>
          <w:tcPr>
            <w:tcW w:type="dxa" w:w="2200"/>
          </w:tcPr>
          <w:p>
            <w:r>
              <w:rPr>
                <w:b w:val="false"/>
                <w:bCs w:val="false"/>
                <w:color w:val="000000"/>
                <w:sz w:val="20"/>
                <w:szCs w:val="20"/>
              </w:rPr>
              <w:t xml:space="preserve">profiles.csv</w:t>
            </w:r>
          </w:p>
        </w:tc>
        <w:tc>
          <w:tcPr>
            <w:tcW w:type="dxa" w:w="4000"/>
          </w:tcPr>
          <w:p>
            <w:r>
              <w:rPr>
                <w:b w:val="false"/>
                <w:bCs w:val="false"/>
                <w:color w:val="000000"/>
                <w:sz w:val="20"/>
                <w:szCs w:val="20"/>
              </w:rPr>
              <w:t xml:space="preserve">Agent master data: agent_id, agent_name, agent_role, team_lead</w:t>
            </w:r>
          </w:p>
        </w:tc>
        <w:tc>
          <w:tcPr>
            <w:tcW w:type="dxa" w:w="3300"/>
          </w:tcPr>
          <w:p>
            <w:r>
              <w:rPr>
                <w:b w:val="false"/>
                <w:bCs w:val="false"/>
                <w:color w:val="000000"/>
                <w:sz w:val="20"/>
                <w:szCs w:val="20"/>
              </w:rPr>
              <w:t xml:space="preserve">One row per agent</w:t>
            </w:r>
          </w:p>
        </w:tc>
      </w:tr>
      <w:tr>
        <w:tc>
          <w:tcPr>
            <w:tcW w:type="dxa" w:w="2200"/>
          </w:tcPr>
          <w:p>
            <w:r>
              <w:rPr>
                <w:b w:val="false"/>
                <w:bCs w:val="false"/>
                <w:color w:val="000000"/>
                <w:sz w:val="20"/>
                <w:szCs w:val="20"/>
              </w:rPr>
              <w:t xml:space="preserve">day1.csv</w:t>
            </w:r>
          </w:p>
        </w:tc>
        <w:tc>
          <w:tcPr>
            <w:tcW w:type="dxa" w:w="4000"/>
          </w:tcPr>
          <w:p>
            <w:r>
              <w:rPr>
                <w:b w:val="false"/>
                <w:bCs w:val="false"/>
                <w:color w:val="000000"/>
                <w:sz w:val="20"/>
                <w:szCs w:val="20"/>
              </w:rPr>
              <w:t xml:space="preserve">Day 1 ticket resolution log</w:t>
            </w:r>
          </w:p>
        </w:tc>
        <w:tc>
          <w:tcPr>
            <w:tcW w:type="dxa" w:w="3300"/>
          </w:tcPr>
          <w:p>
            <w:r>
              <w:rPr>
                <w:b w:val="false"/>
                <w:bCs w:val="false"/>
                <w:color w:val="000000"/>
                <w:sz w:val="20"/>
                <w:szCs w:val="20"/>
              </w:rPr>
              <w:t xml:space="preserve">Contains invalid/malformed test rows</w:t>
            </w:r>
          </w:p>
        </w:tc>
      </w:tr>
      <w:tr>
        <w:tc>
          <w:tcPr>
            <w:tcW w:type="dxa" w:w="2200"/>
          </w:tcPr>
          <w:p>
            <w:r>
              <w:rPr>
                <w:b w:val="false"/>
                <w:bCs w:val="false"/>
                <w:color w:val="000000"/>
                <w:sz w:val="20"/>
                <w:szCs w:val="20"/>
              </w:rPr>
              <w:t xml:space="preserve">day2.csv</w:t>
            </w:r>
          </w:p>
        </w:tc>
        <w:tc>
          <w:tcPr>
            <w:tcW w:type="dxa" w:w="4000"/>
          </w:tcPr>
          <w:p>
            <w:r>
              <w:rPr>
                <w:b w:val="false"/>
                <w:bCs w:val="false"/>
                <w:color w:val="000000"/>
                <w:sz w:val="20"/>
                <w:szCs w:val="20"/>
              </w:rPr>
              <w:t xml:space="preserve">Day 2 ticket resolution log</w:t>
            </w:r>
          </w:p>
        </w:tc>
        <w:tc>
          <w:tcPr>
            <w:tcW w:type="dxa" w:w="3300"/>
          </w:tcPr>
          <w:p>
            <w:r>
              <w:rPr>
                <w:b w:val="false"/>
                <w:bCs w:val="false"/>
                <w:color w:val="000000"/>
                <w:sz w:val="20"/>
                <w:szCs w:val="20"/>
              </w:rPr>
              <w:t xml:space="preserve">Contains agents that carry over from Day 1</w:t>
            </w:r>
          </w:p>
        </w:tc>
      </w:tr>
    </w:tbl>
    <w:p>
      <w:pPr>
        <w:pStyle w:val="Heading2"/>
        <w:spacing w:after="120" w:before="250"/>
      </w:pPr>
      <w:r>
        <w:t xml:space="preserve">5.2 Storage Location</w:t>
      </w:r>
    </w:p>
    <w:p>
      <w:pPr>
        <w:spacing w:after="120"/>
      </w:pPr>
      <w:r>
        <w:t xml:space="preserve">Files are stored in a Unity Catalog Volume (Databricks-managed cloud storage), avoiding dependency on external cloud credentials:</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8"/>
          <w:szCs w:val="18"/>
        </w:rPr>
        <w:t xml:space="preserve">/Volumes/project/schema_project/volume_project/bronze/</w:t>
      </w:r>
    </w:p>
    <w:p>
      <w:pPr>
        <w:pStyle w:val="Heading1"/>
        <w:spacing w:after="150" w:before="300"/>
      </w:pPr>
      <w:r>
        <w:t xml:space="preserve">6. Implementation Details</w:t>
      </w:r>
    </w:p>
    <w:p>
      <w:pPr>
        <w:pStyle w:val="Heading2"/>
        <w:spacing w:after="120" w:before="250"/>
      </w:pPr>
      <w:r>
        <w:t xml:space="preserve">6.1 Bronze Layer — Ingestion</w:t>
      </w:r>
    </w:p>
    <w:p>
      <w:pPr>
        <w:spacing w:after="120"/>
      </w:pPr>
      <w:r>
        <w:t xml:space="preserve">Raw CSVs are read directly from the Volume path using Spark's DataFrameReader, preserving the source data as-is:</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8"/>
          <w:szCs w:val="18"/>
        </w:rPr>
        <w:t xml:space="preserve">df_profiles = spark.read.option("header","true").option("inferSchema","true") \</w:t>
      </w:r>
      <w:r>
        <w:rPr>
          <w:rFonts w:ascii="Consolas" w:cs="Consolas" w:eastAsia="Consolas" w:hAnsi="Consolas"/>
          <w:sz w:val="18"/>
          <w:szCs w:val="18"/>
        </w:rPr>
        <w:br/>
        <w:t xml:space="preserve">    .csv(volume_path + "profiles.csv")</w:t>
      </w:r>
      <w:r>
        <w:rPr>
          <w:rFonts w:ascii="Consolas" w:cs="Consolas" w:eastAsia="Consolas" w:hAnsi="Consolas"/>
          <w:sz w:val="18"/>
          <w:szCs w:val="18"/>
        </w:rPr>
        <w:br/>
        <w:t xml:space="preserve"/>
      </w:r>
      <w:r>
        <w:rPr>
          <w:rFonts w:ascii="Consolas" w:cs="Consolas" w:eastAsia="Consolas" w:hAnsi="Consolas"/>
          <w:sz w:val="18"/>
          <w:szCs w:val="18"/>
        </w:rPr>
        <w:br/>
        <w:t xml:space="preserve">df_profiles.write.format("delta").mode("overwrite") \</w:t>
      </w:r>
      <w:r>
        <w:rPr>
          <w:rFonts w:ascii="Consolas" w:cs="Consolas" w:eastAsia="Consolas" w:hAnsi="Consolas"/>
          <w:sz w:val="18"/>
          <w:szCs w:val="18"/>
        </w:rPr>
        <w:br/>
        <w:t xml:space="preserve">    .option("overwriteSchema","true").saveAsTable(TBL_Profiles)</w:t>
      </w:r>
    </w:p>
    <w:p>
      <w:pPr>
        <w:spacing w:after="120"/>
      </w:pPr>
      <w:r>
        <w:t xml:space="preserve">The same pattern is applied to day1.csv and day2.csv, producing three Bronze Delta tables: bronze_profiles, bronze_day1, bronze_day2.</w:t>
      </w:r>
    </w:p>
    <w:p>
      <w:pPr>
        <w:pStyle w:val="Heading2"/>
        <w:spacing w:after="120" w:before="250"/>
      </w:pPr>
      <w:r>
        <w:t xml:space="preserve">6.2 Silver Layer — Cleaning &amp; Business Rules</w:t>
      </w:r>
    </w:p>
    <w:p>
      <w:pPr>
        <w:pStyle w:val="Heading3"/>
        <w:spacing w:after="100" w:before="200"/>
      </w:pPr>
      <w:r>
        <w:t xml:space="preserve">6.2.1 Joining Agent Profiles</w:t>
      </w:r>
    </w:p>
    <w:p>
      <w:pPr>
        <w:spacing w:after="120"/>
      </w:pPr>
      <w:r>
        <w:t xml:space="preserve">Each day's ticket data is joined to the agent profile table on agent_id, enriching every ticket with agent_name, agent_role, and team_lead.</w:t>
      </w:r>
    </w:p>
    <w:p>
      <w:pPr>
        <w:pStyle w:val="Heading3"/>
        <w:spacing w:after="100" w:before="200"/>
      </w:pPr>
      <w:r>
        <w:t xml:space="preserve">6.2.2 Scope Filter</w:t>
      </w:r>
    </w:p>
    <w:p>
      <w:pPr>
        <w:spacing w:after="120"/>
      </w:pPr>
      <w:r>
        <w:t xml:space="preserve">Only records where team_lead is one of TL01 through TL08 are retained; all other agents are dropped from further processing.</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8"/>
          <w:szCs w:val="18"/>
        </w:rPr>
        <w:t xml:space="preserve">valid_team_leads = ["TL01","TL02","TL03","TL04","TL05","TL06","TL07","TL08"]</w:t>
      </w:r>
      <w:r>
        <w:rPr>
          <w:rFonts w:ascii="Consolas" w:cs="Consolas" w:eastAsia="Consolas" w:hAnsi="Consolas"/>
          <w:sz w:val="18"/>
          <w:szCs w:val="18"/>
        </w:rPr>
        <w:br/>
        <w:t xml:space="preserve">silver_day1_df = silver_day1_df.filter(col("team_lead").isin(valid_team_leads))</w:t>
      </w:r>
    </w:p>
    <w:p>
      <w:pPr>
        <w:pStyle w:val="Heading3"/>
        <w:spacing w:after="100" w:before="200"/>
      </w:pPr>
      <w:r>
        <w:t xml:space="preserve">6.2.3 Resolution Time Conversion</w:t>
      </w:r>
    </w:p>
    <w:p>
      <w:pPr>
        <w:spacing w:after="120"/>
      </w:pPr>
      <w:r>
        <w:t xml:space="preserve">Resolution time strings (e.g. "0h 22m 45s") are parsed with a regular expression and converted into total decimal minutes, with the rounding rule applied (seconds &gt;= 30 round up).</w:t>
      </w:r>
    </w:p>
    <w:p>
      <w:pPr>
        <w:pStyle w:val="Heading3"/>
        <w:spacing w:after="100" w:before="200"/>
      </w:pPr>
      <w:r>
        <w:t xml:space="preserve">6.2.4 Quality Threshold Filter</w:t>
      </w:r>
    </w:p>
    <w:p>
      <w:pPr>
        <w:spacing w:after="120"/>
      </w:pPr>
      <w:r>
        <w:t xml:space="preserve">Only rows with status = "Resolved" AND converted resolution time &gt; 15 minutes are kept as valid, successful resolutions.</w:t>
      </w:r>
    </w:p>
    <w:p>
      <w:pPr>
        <w:pStyle w:val="Heading3"/>
        <w:spacing w:after="100" w:before="200"/>
      </w:pPr>
      <w:r>
        <w:t xml:space="preserve">6.2.5 Day 2 Carry-over Rule</w:t>
      </w:r>
    </w:p>
    <w:p>
      <w:pPr>
        <w:spacing w:after="120"/>
      </w:pPr>
      <w:r>
        <w:t xml:space="preserve">Agents who succeeded on Day 1 are excluded from the Day 2 result set using a left-anti join, preventing double-counting of agents who completed their work on Day 1:</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8"/>
          <w:szCs w:val="18"/>
        </w:rPr>
        <w:t xml:space="preserve">day1_successful_agents = silver_day1_df.select("agent_id").distinct()</w:t>
      </w:r>
      <w:r>
        <w:rPr>
          <w:rFonts w:ascii="Consolas" w:cs="Consolas" w:eastAsia="Consolas" w:hAnsi="Consolas"/>
          <w:sz w:val="18"/>
          <w:szCs w:val="18"/>
        </w:rPr>
        <w:br/>
        <w:t xml:space="preserve"/>
      </w:r>
      <w:r>
        <w:rPr>
          <w:rFonts w:ascii="Consolas" w:cs="Consolas" w:eastAsia="Consolas" w:hAnsi="Consolas"/>
          <w:sz w:val="18"/>
          <w:szCs w:val="18"/>
        </w:rPr>
        <w:br/>
        <w:t xml:space="preserve">silver_day2_final_df = silver_day2_df.join(</w:t>
      </w:r>
      <w:r>
        <w:rPr>
          <w:rFonts w:ascii="Consolas" w:cs="Consolas" w:eastAsia="Consolas" w:hAnsi="Consolas"/>
          <w:sz w:val="18"/>
          <w:szCs w:val="18"/>
        </w:rPr>
        <w:br/>
        <w:t xml:space="preserve">    day1_successful_agents, on="agent_id", how="left_anti"</w:t>
      </w:r>
      <w:r>
        <w:rPr>
          <w:rFonts w:ascii="Consolas" w:cs="Consolas" w:eastAsia="Consolas" w:hAnsi="Consolas"/>
          <w:sz w:val="18"/>
          <w:szCs w:val="18"/>
        </w:rPr>
        <w:br/>
        <w:t xml:space="preserve">)</w:t>
      </w:r>
    </w:p>
    <w:p>
      <w:pPr>
        <w:spacing w:after="120"/>
      </w:pPr>
      <w:r>
        <w:t xml:space="preserve">Output tables: silver_day1, silver_day2.</w:t>
      </w:r>
    </w:p>
    <w:p>
      <w:pPr>
        <w:pStyle w:val="Heading2"/>
        <w:spacing w:after="120" w:before="250"/>
      </w:pPr>
      <w:r>
        <w:t xml:space="preserve">6.3 Gold Layer — Aggregation &amp; KPIs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600"/>
      </w:tblGrid>
      <w:tr>
        <w:trPr>
          <w:tblHeader/>
        </w:trPr>
        <w:tc>
          <w:tcPr>
            <w:tcW w:type="dxa" w:w="3200"/>
            <w:shd w:fill="4472C4" w:val="clear"/>
          </w:tcPr>
          <w:p>
            <w:r>
              <w:rPr>
                <w:b/>
                <w:bCs/>
                <w:color w:val="FFFFFF"/>
                <w:sz w:val="20"/>
                <w:szCs w:val="20"/>
              </w:rPr>
              <w:t xml:space="preserve">Gold Table</w:t>
            </w:r>
          </w:p>
        </w:tc>
        <w:tc>
          <w:tcPr>
            <w:tcW w:type="dxa" w:w="1700"/>
            <w:shd w:fill="4472C4" w:val="clear"/>
          </w:tcPr>
          <w:p>
            <w:r>
              <w:rPr>
                <w:b/>
                <w:bCs/>
                <w:color w:val="FFFFFF"/>
                <w:sz w:val="20"/>
                <w:szCs w:val="20"/>
              </w:rPr>
              <w:t xml:space="preserve">Answers Question</w:t>
            </w:r>
          </w:p>
        </w:tc>
        <w:tc>
          <w:tcPr>
            <w:tcW w:type="dxa" w:w="4600"/>
            <w:shd w:fill="4472C4" w:val="clear"/>
          </w:tcPr>
          <w:p>
            <w:r>
              <w:rPr>
                <w:b/>
                <w:bCs/>
                <w:color w:val="FFFFFF"/>
                <w:sz w:val="20"/>
                <w:szCs w:val="20"/>
              </w:rPr>
              <w:t xml:space="preserve">Content</w:t>
            </w:r>
          </w:p>
        </w:tc>
      </w:tr>
      <w:tr>
        <w:tc>
          <w:tcPr>
            <w:tcW w:type="dxa" w:w="3200"/>
          </w:tcPr>
          <w:p>
            <w:r>
              <w:rPr>
                <w:b w:val="false"/>
                <w:bCs w:val="false"/>
                <w:color w:val="000000"/>
                <w:sz w:val="20"/>
                <w:szCs w:val="20"/>
              </w:rPr>
              <w:t xml:space="preserve">gold_team_performance</w:t>
            </w:r>
          </w:p>
        </w:tc>
        <w:tc>
          <w:tcPr>
            <w:tcW w:type="dxa" w:w="1700"/>
          </w:tcPr>
          <w:p>
            <w:r>
              <w:rPr>
                <w:b w:val="false"/>
                <w:bCs w:val="false"/>
                <w:color w:val="000000"/>
                <w:sz w:val="20"/>
                <w:szCs w:val="20"/>
              </w:rPr>
              <w:t xml:space="preserve">Q1</w:t>
            </w:r>
          </w:p>
        </w:tc>
        <w:tc>
          <w:tcPr>
            <w:tcW w:type="dxa" w:w="4600"/>
          </w:tcPr>
          <w:p>
            <w:r>
              <w:rPr>
                <w:b w:val="false"/>
                <w:bCs w:val="false"/>
                <w:color w:val="000000"/>
                <w:sz w:val="20"/>
                <w:szCs w:val="20"/>
              </w:rPr>
              <w:t xml:space="preserve">Ticket counts resolved per Team Lead (TL01-TL08)</w:t>
            </w:r>
          </w:p>
        </w:tc>
      </w:tr>
      <w:tr>
        <w:tc>
          <w:tcPr>
            <w:tcW w:type="dxa" w:w="3200"/>
          </w:tcPr>
          <w:p>
            <w:r>
              <w:rPr>
                <w:b w:val="false"/>
                <w:bCs w:val="false"/>
                <w:color w:val="000000"/>
                <w:sz w:val="20"/>
                <w:szCs w:val="20"/>
              </w:rPr>
              <w:t xml:space="preserve">gold_agent_performance</w:t>
            </w:r>
          </w:p>
        </w:tc>
        <w:tc>
          <w:tcPr>
            <w:tcW w:type="dxa" w:w="1700"/>
          </w:tcPr>
          <w:p>
            <w:r>
              <w:rPr>
                <w:b w:val="false"/>
                <w:bCs w:val="false"/>
                <w:color w:val="000000"/>
                <w:sz w:val="20"/>
                <w:szCs w:val="20"/>
              </w:rPr>
              <w:t xml:space="preserve">Q2</w:t>
            </w:r>
          </w:p>
        </w:tc>
        <w:tc>
          <w:tcPr>
            <w:tcW w:type="dxa" w:w="4600"/>
          </w:tcPr>
          <w:p>
            <w:r>
              <w:rPr>
                <w:b w:val="false"/>
                <w:bCs w:val="false"/>
                <w:color w:val="000000"/>
                <w:sz w:val="20"/>
                <w:szCs w:val="20"/>
              </w:rPr>
              <w:t xml:space="preserve">Per-agent resolution counts split by Day 1 / Day 2</w:t>
            </w:r>
          </w:p>
        </w:tc>
      </w:tr>
      <w:tr>
        <w:tc>
          <w:tcPr>
            <w:tcW w:type="dxa" w:w="3200"/>
          </w:tcPr>
          <w:p>
            <w:r>
              <w:rPr>
                <w:b w:val="false"/>
                <w:bCs w:val="false"/>
                <w:color w:val="000000"/>
                <w:sz w:val="20"/>
                <w:szCs w:val="20"/>
              </w:rPr>
              <w:t xml:space="preserve">gold_category_performance</w:t>
            </w:r>
          </w:p>
        </w:tc>
        <w:tc>
          <w:tcPr>
            <w:tcW w:type="dxa" w:w="1700"/>
          </w:tcPr>
          <w:p>
            <w:r>
              <w:rPr>
                <w:b w:val="false"/>
                <w:bCs w:val="false"/>
                <w:color w:val="000000"/>
                <w:sz w:val="20"/>
                <w:szCs w:val="20"/>
              </w:rPr>
              <w:t xml:space="preserve">Q3</w:t>
            </w:r>
          </w:p>
        </w:tc>
        <w:tc>
          <w:tcPr>
            <w:tcW w:type="dxa" w:w="4600"/>
          </w:tcPr>
          <w:p>
            <w:r>
              <w:rPr>
                <w:b w:val="false"/>
                <w:bCs w:val="false"/>
                <w:color w:val="000000"/>
                <w:sz w:val="20"/>
                <w:szCs w:val="20"/>
              </w:rPr>
              <w:t xml:space="preserve">Compliance breakdown by ticket category</w:t>
            </w:r>
          </w:p>
        </w:tc>
      </w:tr>
      <w:tr>
        <w:tc>
          <w:tcPr>
            <w:tcW w:type="dxa" w:w="3200"/>
          </w:tcPr>
          <w:p>
            <w:r>
              <w:rPr>
                <w:b w:val="false"/>
                <w:bCs w:val="false"/>
                <w:color w:val="000000"/>
                <w:sz w:val="20"/>
                <w:szCs w:val="20"/>
              </w:rPr>
              <w:t xml:space="preserve">gold_summary</w:t>
            </w:r>
          </w:p>
        </w:tc>
        <w:tc>
          <w:tcPr>
            <w:tcW w:type="dxa" w:w="1700"/>
          </w:tcPr>
          <w:p>
            <w:r>
              <w:rPr>
                <w:b w:val="false"/>
                <w:bCs w:val="false"/>
                <w:color w:val="000000"/>
                <w:sz w:val="20"/>
                <w:szCs w:val="20"/>
              </w:rPr>
              <w:t xml:space="preserve">Q3 &amp; Q4</w:t>
            </w:r>
          </w:p>
        </w:tc>
        <w:tc>
          <w:tcPr>
            <w:tcW w:type="dxa" w:w="4600"/>
          </w:tcPr>
          <w:p>
            <w:r>
              <w:rPr>
                <w:b w:val="false"/>
                <w:bCs w:val="false"/>
                <w:color w:val="000000"/>
                <w:sz w:val="20"/>
                <w:szCs w:val="20"/>
              </w:rPr>
              <w:t xml:space="preserve">Overall compliance rate and carry-over agent count</w:t>
            </w:r>
          </w:p>
        </w:tc>
      </w:tr>
    </w:tbl>
    <w:p>
      <w:pPr>
        <w:pStyle w:val="Heading1"/>
        <w:spacing w:after="150" w:before="300"/>
      </w:pPr>
      <w:r>
        <w:t xml:space="preserve">7. Cloud Storage &amp; Environment Setup</w:t>
      </w:r>
    </w:p>
    <w:p>
      <w:pPr>
        <w:spacing w:after="120"/>
      </w:pPr>
      <w:r>
        <w:t xml:space="preserve">The project was implemented on Databricks Free Edition using Unity Catalog Volumes for file storage, avoiding reliance on an external Azure subscription and its associated costs. An earlier iteration used Azure Data Lake Storage Gen2 with a Unity Catalog External Location secured via an Azure Managed Identity (Access Connector for Azure Databricks); this was replaced with a Volume-based approach for cost and simplicity reasons, with no change to the transformation logic.</w:t>
      </w:r>
    </w:p>
    <w:p>
      <w:pPr>
        <w:pStyle w:val="Heading1"/>
        <w:spacing w:after="150" w:before="300"/>
      </w:pPr>
      <w:r>
        <w:t xml:space="preserve">8. Orchestration — Databricks Job</w:t>
      </w:r>
    </w:p>
    <w:p>
      <w:pPr>
        <w:spacing w:after="120"/>
      </w:pPr>
      <w:r>
        <w:t xml:space="preserve">The three notebooks are wired together as a single Databricks Job with sequential task dependencies, enabling one-click, repeatable execution of the full pipeline: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500"/>
      </w:tblGrid>
      <w:tr>
        <w:trPr>
          <w:tblHeader/>
        </w:trPr>
        <w:tc>
          <w:tcPr>
            <w:tcW w:type="dxa" w:w="1500"/>
            <w:shd w:fill="4472C4" w:val="clear"/>
          </w:tcPr>
          <w:p>
            <w:r>
              <w:rPr>
                <w:b/>
                <w:bCs/>
                <w:color w:val="FFFFFF"/>
                <w:sz w:val="20"/>
                <w:szCs w:val="20"/>
              </w:rPr>
              <w:t xml:space="preserve">Task</w:t>
            </w:r>
          </w:p>
        </w:tc>
        <w:tc>
          <w:tcPr>
            <w:tcW w:type="dxa" w:w="4500"/>
            <w:shd w:fill="4472C4" w:val="clear"/>
          </w:tcPr>
          <w:p>
            <w:r>
              <w:rPr>
                <w:b/>
                <w:bCs/>
                <w:color w:val="FFFFFF"/>
                <w:sz w:val="20"/>
                <w:szCs w:val="20"/>
              </w:rPr>
              <w:t xml:space="preserve">Notebook</w:t>
            </w:r>
          </w:p>
        </w:tc>
        <w:tc>
          <w:tcPr>
            <w:tcW w:type="dxa" w:w="3500"/>
            <w:shd w:fill="4472C4" w:val="clear"/>
          </w:tcPr>
          <w:p>
            <w:r>
              <w:rPr>
                <w:b/>
                <w:bCs/>
                <w:color w:val="FFFFFF"/>
                <w:sz w:val="20"/>
                <w:szCs w:val="20"/>
              </w:rPr>
              <w:t xml:space="preserve">Depends On</w:t>
            </w:r>
          </w:p>
        </w:tc>
      </w:tr>
      <w:tr>
        <w:tc>
          <w:tcPr>
            <w:tcW w:type="dxa" w:w="1500"/>
          </w:tcPr>
          <w:p>
            <w:r>
              <w:rPr>
                <w:b w:val="false"/>
                <w:bCs w:val="false"/>
                <w:color w:val="000000"/>
                <w:sz w:val="20"/>
                <w:szCs w:val="20"/>
              </w:rPr>
              <w:t xml:space="preserve">1</w:t>
            </w:r>
          </w:p>
        </w:tc>
        <w:tc>
          <w:tcPr>
            <w:tcW w:type="dxa" w:w="4500"/>
          </w:tcPr>
          <w:p>
            <w:r>
              <w:rPr>
                <w:b w:val="false"/>
                <w:bCs w:val="false"/>
                <w:color w:val="000000"/>
                <w:sz w:val="20"/>
                <w:szCs w:val="20"/>
              </w:rPr>
              <w:t xml:space="preserve">01_bronze_ingestion</w:t>
            </w:r>
          </w:p>
        </w:tc>
        <w:tc>
          <w:tcPr>
            <w:tcW w:type="dxa" w:w="3500"/>
          </w:tcPr>
          <w:p>
            <w:r>
              <w:rPr>
                <w:b w:val="false"/>
                <w:bCs w:val="false"/>
                <w:color w:val="000000"/>
                <w:sz w:val="20"/>
                <w:szCs w:val="20"/>
              </w:rPr>
              <w:t xml:space="preserve">-</w:t>
            </w:r>
          </w:p>
        </w:tc>
      </w:tr>
      <w:tr>
        <w:tc>
          <w:tcPr>
            <w:tcW w:type="dxa" w:w="1500"/>
          </w:tcPr>
          <w:p>
            <w:r>
              <w:rPr>
                <w:b w:val="false"/>
                <w:bCs w:val="false"/>
                <w:color w:val="000000"/>
                <w:sz w:val="20"/>
                <w:szCs w:val="20"/>
              </w:rPr>
              <w:t xml:space="preserve">2</w:t>
            </w:r>
          </w:p>
        </w:tc>
        <w:tc>
          <w:tcPr>
            <w:tcW w:type="dxa" w:w="4500"/>
          </w:tcPr>
          <w:p>
            <w:r>
              <w:rPr>
                <w:b w:val="false"/>
                <w:bCs w:val="false"/>
                <w:color w:val="000000"/>
                <w:sz w:val="20"/>
                <w:szCs w:val="20"/>
              </w:rPr>
              <w:t xml:space="preserve">02_silver_transformation</w:t>
            </w:r>
          </w:p>
        </w:tc>
        <w:tc>
          <w:tcPr>
            <w:tcW w:type="dxa" w:w="3500"/>
          </w:tcPr>
          <w:p>
            <w:r>
              <w:rPr>
                <w:b w:val="false"/>
                <w:bCs w:val="false"/>
                <w:color w:val="000000"/>
                <w:sz w:val="20"/>
                <w:szCs w:val="20"/>
              </w:rPr>
              <w:t xml:space="preserve">Task 1</w:t>
            </w:r>
          </w:p>
        </w:tc>
      </w:tr>
      <w:tr>
        <w:tc>
          <w:tcPr>
            <w:tcW w:type="dxa" w:w="1500"/>
          </w:tcPr>
          <w:p>
            <w:r>
              <w:rPr>
                <w:b w:val="false"/>
                <w:bCs w:val="false"/>
                <w:color w:val="000000"/>
                <w:sz w:val="20"/>
                <w:szCs w:val="20"/>
              </w:rPr>
              <w:t xml:space="preserve">3</w:t>
            </w:r>
          </w:p>
        </w:tc>
        <w:tc>
          <w:tcPr>
            <w:tcW w:type="dxa" w:w="4500"/>
          </w:tcPr>
          <w:p>
            <w:r>
              <w:rPr>
                <w:b w:val="false"/>
                <w:bCs w:val="false"/>
                <w:color w:val="000000"/>
                <w:sz w:val="20"/>
                <w:szCs w:val="20"/>
              </w:rPr>
              <w:t xml:space="preserve">03_gold_aggregation</w:t>
            </w:r>
          </w:p>
        </w:tc>
        <w:tc>
          <w:tcPr>
            <w:tcW w:type="dxa" w:w="3500"/>
          </w:tcPr>
          <w:p>
            <w:r>
              <w:rPr>
                <w:b w:val="false"/>
                <w:bCs w:val="false"/>
                <w:color w:val="000000"/>
                <w:sz w:val="20"/>
                <w:szCs w:val="20"/>
              </w:rPr>
              <w:t xml:space="preserve">Task 2</w:t>
            </w:r>
          </w:p>
        </w:tc>
      </w:tr>
    </w:tbl>
    <w:p>
      <w:pPr>
        <w:spacing w:after="120"/>
      </w:pPr>
      <w:r>
        <w:t xml:space="preserve">Running the Job executes Bronze, then Silver, then Gold in order, with each stage reading its input from the Delta table written by the previous stage (via spark.table(...)) rather than relying on in-memory notebook state.</w:t>
      </w:r>
    </w:p>
    <w:p>
      <w:pPr>
        <w:pStyle w:val="Heading1"/>
        <w:spacing w:after="150" w:before="300"/>
      </w:pPr>
      <w:r>
        <w:t xml:space="preserve">9. Data Validation &amp; Testing</w:t>
      </w:r>
    </w:p>
    <w:p>
      <w:pPr>
        <w:spacing w:after="120"/>
      </w:pPr>
      <w:r>
        <w:t xml:space="preserve">The source datasets intentionally include edge cases to validate the pipeline's robustness:</w:t>
      </w:r>
    </w:p>
    <w:p>
      <w:pPr>
        <w:pStyle w:val="ListParagraph"/>
        <w:numPr>
          <w:ilvl w:val="0"/>
          <w:numId w:val="1"/>
        </w:numPr>
        <w:spacing w:after="60"/>
      </w:pPr>
      <w:r>
        <w:t xml:space="preserve">Blank / missing ticket_id values — excluded during validation</w:t>
      </w:r>
    </w:p>
    <w:p>
      <w:pPr>
        <w:pStyle w:val="ListParagraph"/>
        <w:numPr>
          <w:ilvl w:val="0"/>
          <w:numId w:val="1"/>
        </w:numPr>
        <w:spacing w:after="60"/>
      </w:pPr>
      <w:r>
        <w:t xml:space="preserve">Malformed resolution_time values (e.g. "BADTIME") — handled gracefully without failing the job</w:t>
      </w:r>
    </w:p>
    <w:p>
      <w:pPr>
        <w:pStyle w:val="ListParagraph"/>
        <w:numPr>
          <w:ilvl w:val="0"/>
          <w:numId w:val="1"/>
        </w:numPr>
        <w:spacing w:after="60"/>
      </w:pPr>
      <w:r>
        <w:t xml:space="preserve">Out-of-scope agent IDs (e.g. reporting to TL12) — removed by the scope filter</w:t>
      </w:r>
    </w:p>
    <w:p>
      <w:pPr>
        <w:pStyle w:val="ListParagraph"/>
        <w:numPr>
          <w:ilvl w:val="0"/>
          <w:numId w:val="1"/>
        </w:numPr>
        <w:spacing w:after="60"/>
      </w:pPr>
      <w:r>
        <w:t xml:space="preserve">Agents succeeding on Day 1 and reappearing on Day 2 — removed by the carry-over rule</w:t>
      </w:r>
    </w:p>
    <w:p>
      <w:pPr>
        <w:pStyle w:val="ListParagraph"/>
        <w:numPr>
          <w:ilvl w:val="0"/>
          <w:numId w:val="1"/>
        </w:numPr>
        <w:spacing w:after="60"/>
      </w:pPr>
      <w:r>
        <w:t xml:space="preserve">Rushed tickets closed in &lt;=15 minutes — excluded from the successful-resolution count</w:t>
      </w:r>
    </w:p>
    <w:p>
      <w:pPr>
        <w:pStyle w:val="Heading1"/>
        <w:spacing w:after="150" w:before="300"/>
      </w:pPr>
      <w:r>
        <w:t xml:space="preserve">10. Deliverables</w:t>
      </w:r>
    </w:p>
    <w:p>
      <w:pPr>
        <w:pStyle w:val="ListParagraph"/>
        <w:numPr>
          <w:ilvl w:val="0"/>
          <w:numId w:val="1"/>
        </w:numPr>
        <w:spacing w:after="60"/>
      </w:pPr>
      <w:r>
        <w:t xml:space="preserve">Three Databricks notebooks: 00_config, 01_bronze_ingestion, 02_silver_transformation, 03_gold_aggregation</w:t>
      </w:r>
    </w:p>
    <w:p>
      <w:pPr>
        <w:pStyle w:val="ListParagraph"/>
        <w:numPr>
          <w:ilvl w:val="0"/>
          <w:numId w:val="1"/>
        </w:numPr>
        <w:spacing w:after="60"/>
      </w:pPr>
      <w:r>
        <w:t xml:space="preserve">Databricks Job ("Customer_Support_Pipeline") wiring the notebooks together</w:t>
      </w:r>
    </w:p>
    <w:p>
      <w:pPr>
        <w:pStyle w:val="ListParagraph"/>
        <w:numPr>
          <w:ilvl w:val="0"/>
          <w:numId w:val="1"/>
        </w:numPr>
        <w:spacing w:after="60"/>
      </w:pPr>
      <w:r>
        <w:t xml:space="preserve">Nine Delta tables spanning Bronze, Silver, and Gold layers</w:t>
      </w:r>
    </w:p>
    <w:p>
      <w:pPr>
        <w:pStyle w:val="ListParagraph"/>
        <w:numPr>
          <w:ilvl w:val="0"/>
          <w:numId w:val="1"/>
        </w:numPr>
        <w:spacing w:after="60"/>
      </w:pPr>
      <w:r>
        <w:t xml:space="preserve">Exported CSV snapshots of Silver and Gold outputs for offline review</w:t>
      </w:r>
    </w:p>
    <w:p>
      <w:pPr>
        <w:pStyle w:val="ListParagraph"/>
        <w:numPr>
          <w:ilvl w:val="0"/>
          <w:numId w:val="1"/>
        </w:numPr>
        <w:spacing w:after="60"/>
      </w:pPr>
      <w:r>
        <w:t xml:space="preserve">This documentation</w:t>
      </w:r>
    </w:p>
    <w:p>
      <w:pPr>
        <w:pStyle w:val="Heading1"/>
        <w:spacing w:after="150" w:before="300"/>
      </w:pPr>
      <w:r>
        <w:t xml:space="preserve">11. Conclusion</w:t>
      </w:r>
    </w:p>
    <w:p>
      <w:pPr>
        <w:spacing w:after="120"/>
      </w:pPr>
      <w:r>
        <w:t xml:space="preserve">This pipeline satisfies the four leadership questions defined in the problem statement by ingesting raw ticket data from cloud storage, applying validated business rules for resolution quality, team scope, and Day-2 carry-over, and producing clean, aggregated Gold-layer tables ready for dashboarding. The medallion architecture and Job-based orchestration make the pipeline auditable, reproducible, and easy to re-run against new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2026-07-18T19:55:03.724Z</dcterms:created>
  <dcterms:modified xsi:type="dcterms:W3CDTF">2026-07-18T19:55:03.724Z</dcterms:modified>
</cp:coreProperties>
</file>

<file path=docProps/custom.xml><?xml version="1.0" encoding="utf-8"?>
<Properties xmlns="http://schemas.openxmlformats.org/officeDocument/2006/custom-properties" xmlns:vt="http://schemas.openxmlformats.org/officeDocument/2006/docPropsVTypes"/>
</file>