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36"/>
          <w:szCs w:val="36"/>
        </w:rPr>
        <w:t xml:space="preserve">Customer Support Ticket Resolution Pipeline</w:t>
      </w:r>
    </w:p>
    <w:p>
      <w:pPr>
        <w:spacing w:after="60"/>
      </w:pPr>
      <w:r>
        <w:rPr>
          <w:i/>
          <w:iCs/>
          <w:sz w:val="26"/>
          <w:szCs w:val="26"/>
        </w:rPr>
        <w:t xml:space="preserve">Project Documentation</w:t>
      </w:r>
    </w:p>
    <w:p>
      <w:pPr>
        <w:spacing w:after="300"/>
      </w:pPr>
      <w:r>
        <w:rPr>
          <w:i/>
          <w:iCs/>
          <w:color w:val="555555"/>
          <w:sz w:val="22"/>
          <w:szCs w:val="22"/>
        </w:rPr>
        <w:t xml:space="preserve">Databricks Lakehouse Implementation — Bronze / Silver / Gold Medallion Architecture</w:t>
      </w:r>
    </w:p>
    <w:p>
      <w:pPr>
        <w:spacing w:after="160"/>
      </w:pPr>
      <w:r>
        <w:rPr>
          <w:b/>
          <w:bCs/>
        </w:rPr>
        <w:t xml:space="preserve">Prepared for: </w:t>
      </w:r>
      <w:r>
        <w:t xml:space="preserve">Customer Support Efficiency Review</w:t>
      </w:r>
    </w:p>
    <w:p>
      <w:pPr>
        <w:spacing w:after="160"/>
      </w:pPr>
      <w:r>
        <w:rPr>
          <w:b/>
          <w:bCs/>
        </w:rPr>
        <w:t xml:space="preserve">Platform: </w:t>
      </w:r>
      <w:r>
        <w:t xml:space="preserve">Databricks (Unity Catalog Volumes)</w:t>
      </w:r>
    </w:p>
    <w:p>
      <w:pPr>
        <w:spacing w:after="160"/>
      </w:pPr>
      <w:r>
        <w:rPr>
          <w:b/>
          <w:bCs/>
        </w:rPr>
        <w:t xml:space="preserve">Repository: </w:t>
      </w:r>
      <w:r>
        <w:t xml:space="preserve">Customer-Support-Ticket-Resolution-Pipeline</w:t>
      </w:r>
    </w:p>
    <w:p>
      <w:r>
        <w:br w:type="page"/>
      </w:r>
    </w:p>
    <w:p>
      <w:pPr>
        <w:pStyle w:val="Heading1"/>
        <w:spacing w:after="160" w:before="36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Executive Summary</w:t>
      </w:r>
    </w:p>
    <w:p>
      <w:pPr>
        <w:spacing w:after="160"/>
      </w:pPr>
      <w:r>
        <w:t xml:space="preserve">This project implements an end-to-end data pipeline that transforms raw customer support ticket logs into a clean, query-ready dataset for leadership reporting. Two days of agent-level ticket records were captured in CSV form, alongside a separate agent master/profile file.</w:t>
      </w:r>
    </w:p>
    <w:p>
      <w:pPr>
        <w:spacing w:after="160"/>
      </w:pPr>
      <w:r>
        <w:t xml:space="preserve">The pipeline ingests these records from Unity Catalog Volume storage, validates and cleans them, applies eight business rules, and produces four aggregated Gold-layer KPI tables for reporting.</w:t>
      </w:r>
    </w:p>
    <w:p>
      <w:pPr>
        <w:spacing w:after="160"/>
      </w:pPr>
      <w:r>
        <w:t xml:space="preserve">The solution is built on Databricks using PySpark and Delta Lake, following the Bronze / Silver / Gold medallion architecture, and is orchestrated as a four-task Databricks Job (Config, Bronze, Silver, Gold) for repeatable, one-click execution.</w:t>
      </w:r>
    </w:p>
    <w:p>
      <w:pPr>
        <w:pStyle w:val="Heading1"/>
        <w:spacing w:after="160" w:before="360"/>
      </w:pPr>
      <w:r>
        <w:t xml:space="preserve">2. Business Problem</w:t>
      </w:r>
    </w:p>
    <w:p>
      <w:pPr>
        <w:spacing w:after="160"/>
      </w:pPr>
      <w:r>
        <w:t xml:space="preserve">Leadership required a structured dataset to answer business questions that could not be answered directly from the raw CSV exports:</w:t>
      </w:r>
    </w:p>
    <w:p>
      <w:pPr>
        <w:pStyle w:val="ListParagraph"/>
        <w:numPr>
          <w:ilvl w:val="0"/>
          <w:numId w:val="1"/>
        </w:numPr>
        <w:spacing w:after="80"/>
      </w:pPr>
      <w:r>
        <w:t xml:space="preserve">Ticket resolution performance across the team hierarchy (Team Leads TL01–TL08)</w:t>
      </w:r>
    </w:p>
    <w:p>
      <w:pPr>
        <w:pStyle w:val="ListParagraph"/>
        <w:numPr>
          <w:ilvl w:val="0"/>
          <w:numId w:val="1"/>
        </w:numPr>
        <w:spacing w:after="80"/>
      </w:pPr>
      <w:r>
        <w:t xml:space="preserve">Per-agent and per-category resolution performance</w:t>
      </w:r>
    </w:p>
    <w:p>
      <w:pPr>
        <w:pStyle w:val="ListParagraph"/>
        <w:numPr>
          <w:ilvl w:val="0"/>
          <w:numId w:val="1"/>
        </w:numPr>
        <w:spacing w:after="80"/>
      </w:pPr>
      <w:r>
        <w:t xml:space="preserve">Compliance with a resolution quality threshold (resolution time greater than 15 minutes to count as a genuine, successful resolution)</w:t>
      </w:r>
    </w:p>
    <w:p>
      <w:pPr>
        <w:pStyle w:val="ListParagraph"/>
        <w:numPr>
          <w:ilvl w:val="0"/>
          <w:numId w:val="1"/>
        </w:numPr>
        <w:spacing w:after="80"/>
      </w:pPr>
      <w:r>
        <w:t xml:space="preserve">Prevention of double-counting agents who already succeeded on Day 1 when evaluating Day 2 results</w:t>
      </w:r>
    </w:p>
    <w:p>
      <w:pPr>
        <w:spacing w:after="160"/>
      </w:pPr>
      <w:r>
        <w:t xml:space="preserve">The raw data could not answer these questions directly because it was split across two files, contained invalid or out-of-scope records (including ticket IDs and agent IDs not present anywhere else in the system), stored resolution time as free-text, and had no direct link between a ticket and the agent's team hierarchy.</w:t>
      </w:r>
    </w:p>
    <w:p>
      <w:pPr>
        <w:pStyle w:val="Heading1"/>
        <w:spacing w:after="160" w:before="360"/>
      </w:pPr>
      <w:r>
        <w:t xml:space="preserve">3. Business Rules Implemented</w:t>
      </w:r>
    </w:p>
    <w:p>
      <w:pPr>
        <w:spacing w:after="160"/>
      </w:pPr>
      <w:r>
        <w:t xml:space="preserve">The Silver layer applies eight rules, in the following order, to the raw ticket 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6450"/>
      </w:tblGrid>
      <w:tr>
        <w:trPr>
          <w:tblHeader/>
        </w:trPr>
        <w:tc>
          <w:tcPr>
            <w:tcW w:type="dxa" w:w="500"/>
            <w:shd w:fill="1F4E79" w:val="clear"/>
            <w:tcMar>
              <w:top w:type="dxa" w:w="80"/>
              <w:left w:type="dxa" w:w="100"/>
              <w:bottom w:type="dxa" w:w="80"/>
              <w:right w:type="dxa" w:w="100"/>
            </w:tcMar>
          </w:tcPr>
          <w:p>
            <w:r>
              <w:rPr>
                <w:b/>
                <w:bCs/>
                <w:color w:val="FFFFFF"/>
                <w:sz w:val="20"/>
                <w:szCs w:val="20"/>
              </w:rPr>
              <w:t xml:space="preserve">#</w:t>
            </w:r>
          </w:p>
        </w:tc>
        <w:tc>
          <w:tcPr>
            <w:tcW w:type="dxa" w:w="2400"/>
            <w:shd w:fill="1F4E79" w:val="clear"/>
            <w:tcMar>
              <w:top w:type="dxa" w:w="80"/>
              <w:left w:type="dxa" w:w="100"/>
              <w:bottom w:type="dxa" w:w="80"/>
              <w:right w:type="dxa" w:w="100"/>
            </w:tcMar>
          </w:tcPr>
          <w:p>
            <w:r>
              <w:rPr>
                <w:b/>
                <w:bCs/>
                <w:color w:val="FFFFFF"/>
                <w:sz w:val="20"/>
                <w:szCs w:val="20"/>
              </w:rPr>
              <w:t xml:space="preserve">Rule</w:t>
            </w:r>
          </w:p>
        </w:tc>
        <w:tc>
          <w:tcPr>
            <w:tcW w:type="dxa" w:w="6450"/>
            <w:shd w:fill="1F4E79" w:val="clear"/>
            <w:tcMar>
              <w:top w:type="dxa" w:w="80"/>
              <w:left w:type="dxa" w:w="100"/>
              <w:bottom w:type="dxa" w:w="80"/>
              <w:right w:type="dxa" w:w="100"/>
            </w:tcMar>
          </w:tcPr>
          <w:p>
            <w:r>
              <w:rPr>
                <w:b/>
                <w:bCs/>
                <w:color w:val="FFFFFF"/>
                <w:sz w:val="20"/>
                <w:szCs w:val="20"/>
              </w:rPr>
              <w:t xml:space="preserve">Definition</w:t>
            </w:r>
          </w:p>
        </w:tc>
      </w:tr>
      <w:tr>
        <w:tc>
          <w:tcPr>
            <w:tcW w:type="dxa" w:w="500"/>
            <w:tcMar>
              <w:top w:type="dxa" w:w="60"/>
              <w:left w:type="dxa" w:w="100"/>
              <w:bottom w:type="dxa" w:w="60"/>
              <w:right w:type="dxa" w:w="100"/>
            </w:tcMar>
          </w:tcPr>
          <w:p>
            <w:r>
              <w:rPr>
                <w:sz w:val="20"/>
                <w:szCs w:val="20"/>
              </w:rPr>
              <w:t xml:space="preserve">1</w:t>
            </w:r>
          </w:p>
        </w:tc>
        <w:tc>
          <w:tcPr>
            <w:tcW w:type="dxa" w:w="2400"/>
            <w:tcMar>
              <w:top w:type="dxa" w:w="60"/>
              <w:left w:type="dxa" w:w="100"/>
              <w:bottom w:type="dxa" w:w="60"/>
              <w:right w:type="dxa" w:w="100"/>
            </w:tcMar>
          </w:tcPr>
          <w:p>
            <w:r>
              <w:rPr>
                <w:sz w:val="20"/>
                <w:szCs w:val="20"/>
              </w:rPr>
              <w:t xml:space="preserve">Null / Blank Filter</w:t>
            </w:r>
          </w:p>
        </w:tc>
        <w:tc>
          <w:tcPr>
            <w:tcW w:type="dxa" w:w="6450"/>
            <w:tcMar>
              <w:top w:type="dxa" w:w="60"/>
              <w:left w:type="dxa" w:w="100"/>
              <w:bottom w:type="dxa" w:w="60"/>
              <w:right w:type="dxa" w:w="100"/>
            </w:tcMar>
          </w:tcPr>
          <w:p>
            <w:r>
              <w:rPr>
                <w:sz w:val="20"/>
                <w:szCs w:val="20"/>
              </w:rPr>
              <w:t xml:space="preserve">Rows with a blank or null ticket_id, agent_id, or resolution_time are dropped before any further processing.</w:t>
            </w:r>
          </w:p>
        </w:tc>
      </w:tr>
      <w:tr>
        <w:tc>
          <w:tcPr>
            <w:tcW w:type="dxa" w:w="500"/>
            <w:tcMar>
              <w:top w:type="dxa" w:w="60"/>
              <w:left w:type="dxa" w:w="100"/>
              <w:bottom w:type="dxa" w:w="60"/>
              <w:right w:type="dxa" w:w="100"/>
            </w:tcMar>
          </w:tcPr>
          <w:p>
            <w:r>
              <w:rPr>
                <w:sz w:val="20"/>
                <w:szCs w:val="20"/>
              </w:rPr>
              <w:t xml:space="preserve">2</w:t>
            </w:r>
          </w:p>
        </w:tc>
        <w:tc>
          <w:tcPr>
            <w:tcW w:type="dxa" w:w="2400"/>
            <w:tcMar>
              <w:top w:type="dxa" w:w="60"/>
              <w:left w:type="dxa" w:w="100"/>
              <w:bottom w:type="dxa" w:w="60"/>
              <w:right w:type="dxa" w:w="100"/>
            </w:tcMar>
          </w:tcPr>
          <w:p>
            <w:r>
              <w:rPr>
                <w:sz w:val="20"/>
                <w:szCs w:val="20"/>
              </w:rPr>
              <w:t xml:space="preserve">Agent Profile Join</w:t>
            </w:r>
          </w:p>
        </w:tc>
        <w:tc>
          <w:tcPr>
            <w:tcW w:type="dxa" w:w="6450"/>
            <w:tcMar>
              <w:top w:type="dxa" w:w="60"/>
              <w:left w:type="dxa" w:w="100"/>
              <w:bottom w:type="dxa" w:w="60"/>
              <w:right w:type="dxa" w:w="100"/>
            </w:tcMar>
          </w:tcPr>
          <w:p>
            <w:r>
              <w:rPr>
                <w:sz w:val="20"/>
                <w:szCs w:val="20"/>
              </w:rPr>
              <w:t xml:space="preserve">Each ticket is left-joined to the agent profile table on agent_id, enriching it with agent_name and team_lead.</w:t>
            </w:r>
          </w:p>
        </w:tc>
      </w:tr>
      <w:tr>
        <w:tc>
          <w:tcPr>
            <w:tcW w:type="dxa" w:w="500"/>
            <w:tcMar>
              <w:top w:type="dxa" w:w="60"/>
              <w:left w:type="dxa" w:w="100"/>
              <w:bottom w:type="dxa" w:w="60"/>
              <w:right w:type="dxa" w:w="100"/>
            </w:tcMar>
          </w:tcPr>
          <w:p>
            <w:r>
              <w:rPr>
                <w:sz w:val="20"/>
                <w:szCs w:val="20"/>
              </w:rPr>
              <w:t xml:space="preserve">3</w:t>
            </w:r>
          </w:p>
        </w:tc>
        <w:tc>
          <w:tcPr>
            <w:tcW w:type="dxa" w:w="2400"/>
            <w:tcMar>
              <w:top w:type="dxa" w:w="60"/>
              <w:left w:type="dxa" w:w="100"/>
              <w:bottom w:type="dxa" w:w="60"/>
              <w:right w:type="dxa" w:w="100"/>
            </w:tcMar>
          </w:tcPr>
          <w:p>
            <w:r>
              <w:rPr>
                <w:sz w:val="20"/>
                <w:szCs w:val="20"/>
              </w:rPr>
              <w:t xml:space="preserve">Scope Filter</w:t>
            </w:r>
          </w:p>
        </w:tc>
        <w:tc>
          <w:tcPr>
            <w:tcW w:type="dxa" w:w="6450"/>
            <w:tcMar>
              <w:top w:type="dxa" w:w="60"/>
              <w:left w:type="dxa" w:w="100"/>
              <w:bottom w:type="dxa" w:w="60"/>
              <w:right w:type="dxa" w:w="100"/>
            </w:tcMar>
          </w:tcPr>
          <w:p>
            <w:r>
              <w:rPr>
                <w:sz w:val="20"/>
                <w:szCs w:val="20"/>
              </w:rPr>
              <w:t xml:space="preserve">Only records whose team_lead is one of TL01–TL08 are retained. Tickets belonging to agents with no matching profile record (team_lead is null after the join) are removed by this same filter.</w:t>
            </w:r>
          </w:p>
        </w:tc>
      </w:tr>
      <w:tr>
        <w:tc>
          <w:tcPr>
            <w:tcW w:type="dxa" w:w="500"/>
            <w:tcMar>
              <w:top w:type="dxa" w:w="60"/>
              <w:left w:type="dxa" w:w="100"/>
              <w:bottom w:type="dxa" w:w="60"/>
              <w:right w:type="dxa" w:w="100"/>
            </w:tcMar>
          </w:tcPr>
          <w:p>
            <w:r>
              <w:rPr>
                <w:sz w:val="20"/>
                <w:szCs w:val="20"/>
              </w:rPr>
              <w:t xml:space="preserve">4</w:t>
            </w:r>
          </w:p>
        </w:tc>
        <w:tc>
          <w:tcPr>
            <w:tcW w:type="dxa" w:w="2400"/>
            <w:tcMar>
              <w:top w:type="dxa" w:w="60"/>
              <w:left w:type="dxa" w:w="100"/>
              <w:bottom w:type="dxa" w:w="60"/>
              <w:right w:type="dxa" w:w="100"/>
            </w:tcMar>
          </w:tcPr>
          <w:p>
            <w:r>
              <w:rPr>
                <w:sz w:val="20"/>
                <w:szCs w:val="20"/>
              </w:rPr>
              <w:t xml:space="preserve">Resolution Time Parsing</w:t>
            </w:r>
          </w:p>
        </w:tc>
        <w:tc>
          <w:tcPr>
            <w:tcW w:type="dxa" w:w="6450"/>
            <w:tcMar>
              <w:top w:type="dxa" w:w="60"/>
              <w:left w:type="dxa" w:w="100"/>
              <w:bottom w:type="dxa" w:w="60"/>
              <w:right w:type="dxa" w:w="100"/>
            </w:tcMar>
          </w:tcPr>
          <w:p>
            <w:r>
              <w:rPr>
                <w:sz w:val="20"/>
                <w:szCs w:val="20"/>
              </w:rPr>
              <w:t xml:space="preserve">Resolution time text (e.g. "1h22m34s") is parsed with a regular expression and converted into total whole minutes. Values that don't match the expected pattern (e.g. "BADTIME") return null and are excluded by Rule 6 below.</w:t>
            </w:r>
          </w:p>
        </w:tc>
      </w:tr>
      <w:tr>
        <w:tc>
          <w:tcPr>
            <w:tcW w:type="dxa" w:w="500"/>
            <w:tcMar>
              <w:top w:type="dxa" w:w="60"/>
              <w:left w:type="dxa" w:w="100"/>
              <w:bottom w:type="dxa" w:w="60"/>
              <w:right w:type="dxa" w:w="100"/>
            </w:tcMar>
          </w:tcPr>
          <w:p>
            <w:r>
              <w:rPr>
                <w:sz w:val="20"/>
                <w:szCs w:val="20"/>
              </w:rPr>
              <w:t xml:space="preserve">5</w:t>
            </w:r>
          </w:p>
        </w:tc>
        <w:tc>
          <w:tcPr>
            <w:tcW w:type="dxa" w:w="2400"/>
            <w:tcMar>
              <w:top w:type="dxa" w:w="60"/>
              <w:left w:type="dxa" w:w="100"/>
              <w:bottom w:type="dxa" w:w="60"/>
              <w:right w:type="dxa" w:w="100"/>
            </w:tcMar>
          </w:tcPr>
          <w:p>
            <w:r>
              <w:rPr>
                <w:sz w:val="20"/>
                <w:szCs w:val="20"/>
              </w:rPr>
              <w:t xml:space="preserve">Rounding Rule</w:t>
            </w:r>
          </w:p>
        </w:tc>
        <w:tc>
          <w:tcPr>
            <w:tcW w:type="dxa" w:w="6450"/>
            <w:tcMar>
              <w:top w:type="dxa" w:w="60"/>
              <w:left w:type="dxa" w:w="100"/>
              <w:bottom w:type="dxa" w:w="60"/>
              <w:right w:type="dxa" w:w="100"/>
            </w:tcMar>
          </w:tcPr>
          <w:p>
            <w:r>
              <w:rPr>
                <w:sz w:val="20"/>
                <w:szCs w:val="20"/>
              </w:rPr>
              <w:t xml:space="preserve">If the parsed seconds component is 30 or greater, the minute total is rounded up by one; otherwise the seconds are simply dropped.</w:t>
            </w:r>
          </w:p>
        </w:tc>
      </w:tr>
      <w:tr>
        <w:tc>
          <w:tcPr>
            <w:tcW w:type="dxa" w:w="500"/>
            <w:tcMar>
              <w:top w:type="dxa" w:w="60"/>
              <w:left w:type="dxa" w:w="100"/>
              <w:bottom w:type="dxa" w:w="60"/>
              <w:right w:type="dxa" w:w="100"/>
            </w:tcMar>
          </w:tcPr>
          <w:p>
            <w:r>
              <w:rPr>
                <w:sz w:val="20"/>
                <w:szCs w:val="20"/>
              </w:rPr>
              <w:t xml:space="preserve">6</w:t>
            </w:r>
          </w:p>
        </w:tc>
        <w:tc>
          <w:tcPr>
            <w:tcW w:type="dxa" w:w="2400"/>
            <w:tcMar>
              <w:top w:type="dxa" w:w="60"/>
              <w:left w:type="dxa" w:w="100"/>
              <w:bottom w:type="dxa" w:w="60"/>
              <w:right w:type="dxa" w:w="100"/>
            </w:tcMar>
          </w:tcPr>
          <w:p>
            <w:r>
              <w:rPr>
                <w:sz w:val="20"/>
                <w:szCs w:val="20"/>
              </w:rPr>
              <w:t xml:space="preserve">Quality Threshold</w:t>
            </w:r>
          </w:p>
        </w:tc>
        <w:tc>
          <w:tcPr>
            <w:tcW w:type="dxa" w:w="6450"/>
            <w:tcMar>
              <w:top w:type="dxa" w:w="60"/>
              <w:left w:type="dxa" w:w="100"/>
              <w:bottom w:type="dxa" w:w="60"/>
              <w:right w:type="dxa" w:w="100"/>
            </w:tcMar>
          </w:tcPr>
          <w:p>
            <w:r>
              <w:rPr>
                <w:sz w:val="20"/>
                <w:szCs w:val="20"/>
              </w:rPr>
              <w:t xml:space="preserve">Only rows where status = "Resolved" AND the converted resolution time is greater than 15 minutes are kept.</w:t>
            </w:r>
          </w:p>
        </w:tc>
      </w:tr>
      <w:tr>
        <w:tc>
          <w:tcPr>
            <w:tcW w:type="dxa" w:w="500"/>
            <w:tcMar>
              <w:top w:type="dxa" w:w="60"/>
              <w:left w:type="dxa" w:w="100"/>
              <w:bottom w:type="dxa" w:w="60"/>
              <w:right w:type="dxa" w:w="100"/>
            </w:tcMar>
          </w:tcPr>
          <w:p>
            <w:r>
              <w:rPr>
                <w:sz w:val="20"/>
                <w:szCs w:val="20"/>
              </w:rPr>
              <w:t xml:space="preserve">7</w:t>
            </w:r>
          </w:p>
        </w:tc>
        <w:tc>
          <w:tcPr>
            <w:tcW w:type="dxa" w:w="2400"/>
            <w:tcMar>
              <w:top w:type="dxa" w:w="60"/>
              <w:left w:type="dxa" w:w="100"/>
              <w:bottom w:type="dxa" w:w="60"/>
              <w:right w:type="dxa" w:w="100"/>
            </w:tcMar>
          </w:tcPr>
          <w:p>
            <w:r>
              <w:rPr>
                <w:sz w:val="20"/>
                <w:szCs w:val="20"/>
              </w:rPr>
              <w:t xml:space="preserve">Day 2 Carry-over Rule</w:t>
            </w:r>
          </w:p>
        </w:tc>
        <w:tc>
          <w:tcPr>
            <w:tcW w:type="dxa" w:w="6450"/>
            <w:tcMar>
              <w:top w:type="dxa" w:w="60"/>
              <w:left w:type="dxa" w:w="100"/>
              <w:bottom w:type="dxa" w:w="60"/>
              <w:right w:type="dxa" w:w="100"/>
            </w:tcMar>
          </w:tcPr>
          <w:p>
            <w:r>
              <w:rPr>
                <w:sz w:val="20"/>
                <w:szCs w:val="20"/>
              </w:rPr>
              <w:t xml:space="preserve">Agents who already qualified as successful on Day 1 are excluded from the Day 2 result set via a left-anti join on agent_id, preventing an agent's performance from being counted on both days.</w:t>
            </w:r>
          </w:p>
        </w:tc>
      </w:tr>
    </w:tbl>
    <w:p>
      <w:pPr>
        <w:pStyle w:val="Heading1"/>
        <w:spacing w:after="160" w:before="360"/>
      </w:pPr>
      <w:r>
        <w:t xml:space="preserve">4. Architecture Overview</w:t>
      </w:r>
    </w:p>
    <w:p>
      <w:pPr>
        <w:spacing w:after="160"/>
      </w:pPr>
      <w:r>
        <w:t xml:space="preserve">The pipeline follows the Bronze / Silver / Gold medallion pattern, split across four Databricks notebooks orchestrated by a Databricks Job:</w:t>
      </w:r>
    </w:p>
    <w:p>
      <w:pPr>
        <w:pStyle w:val="ListParagraph"/>
        <w:numPr>
          <w:ilvl w:val="0"/>
          <w:numId w:val="1"/>
        </w:numPr>
        <w:spacing w:after="80"/>
      </w:pPr>
      <w:r>
        <w:t xml:space="preserve">Config — shared constants: database name, table names, storage volume path, common imports (loaded into each other notebook via %run "./Config")</w:t>
      </w:r>
    </w:p>
    <w:p>
      <w:pPr>
        <w:pStyle w:val="ListParagraph"/>
        <w:numPr>
          <w:ilvl w:val="0"/>
          <w:numId w:val="1"/>
        </w:numPr>
        <w:spacing w:after="80"/>
      </w:pPr>
      <w:r>
        <w:t xml:space="preserve">Bronze — reads raw CSVs from Unity Catalog Volume storage, writes Bronze Delta tables</w:t>
      </w:r>
    </w:p>
    <w:p>
      <w:pPr>
        <w:pStyle w:val="ListParagraph"/>
        <w:numPr>
          <w:ilvl w:val="0"/>
          <w:numId w:val="1"/>
        </w:numPr>
        <w:spacing w:after="80"/>
      </w:pPr>
      <w:r>
        <w:t xml:space="preserve">Silver — cleans, joins, filters, and applies the eight business rules, writes Silver Delta tables</w:t>
      </w:r>
    </w:p>
    <w:p>
      <w:pPr>
        <w:pStyle w:val="ListParagraph"/>
        <w:numPr>
          <w:ilvl w:val="0"/>
          <w:numId w:val="1"/>
        </w:numPr>
        <w:spacing w:after="80"/>
      </w:pPr>
      <w:r>
        <w:t xml:space="preserve">Gold — computes final KPIs, writes Gold Delta tables for reporting</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Raw CSVs (Volume Storage)</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[Config]  -&gt;  shared constants used by every downstream notebook</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[Bronze]  -&gt;  bronze_profiles, bronze_day1, bronze_day2</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[Silver]  -&gt;  silver_day1, silver_day2</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        v</w:t>
      </w:r>
      <w:r>
        <w:br/>
        <w:t xml:space="preserve"/>
      </w:r>
      <w:r>
        <w:rPr>
          <w:rFonts w:ascii="Consolas" w:cs="Consolas" w:eastAsia="Consolas" w:hAnsi="Consolas"/>
          <w:sz w:val="18"/>
          <w:szCs w:val="18"/>
        </w:rPr>
        <w:t xml:space="preserve">  [Gold]  -&gt;  gold_team_performance, gold_agent_performance,</w:t>
      </w:r>
      <w:r>
        <w:br/>
        <w:t xml:space="preserve"/>
      </w:r>
      <w:r>
        <w:rPr>
          <w:rFonts w:ascii="Consolas" w:cs="Consolas" w:eastAsia="Consolas" w:hAnsi="Consolas"/>
          <w:sz w:val="18"/>
          <w:szCs w:val="18"/>
        </w:rPr>
        <w:t xml:space="preserve">              gold_category_performance, gold_summary</w:t>
      </w:r>
    </w:p>
    <w:p>
      <w:pPr>
        <w:pStyle w:val="Heading1"/>
        <w:spacing w:after="160" w:before="360"/>
      </w:pPr>
      <w:r>
        <w:t xml:space="preserve">5. Data Sources</w:t>
      </w:r>
    </w:p>
    <w:p>
      <w:pPr>
        <w:pStyle w:val="Heading2"/>
        <w:spacing w:after="120" w:before="260"/>
      </w:pPr>
      <w:r>
        <w:t xml:space="preserve">5.1 Source Files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50"/>
      </w:tblGrid>
      <w:tr>
        <w:trPr>
          <w:tblHeader/>
        </w:trPr>
        <w:tc>
          <w:tcPr>
            <w:tcW w:type="dxa" w:w="2000"/>
            <w:shd w:fill="1F4E79" w:val="clear"/>
            <w:tcMar>
              <w:top w:type="dxa" w:w="80"/>
              <w:left w:type="dxa" w:w="100"/>
              <w:bottom w:type="dxa" w:w="80"/>
              <w:right w:type="dxa" w:w="100"/>
            </w:tcMar>
          </w:tcPr>
          <w:p>
            <w:r>
              <w:rPr>
                <w:b/>
                <w:bCs/>
                <w:color w:val="FFFFFF"/>
                <w:sz w:val="20"/>
                <w:szCs w:val="20"/>
              </w:rPr>
              <w:t xml:space="preserve">File</w:t>
            </w:r>
          </w:p>
        </w:tc>
        <w:tc>
          <w:tcPr>
            <w:tcW w:type="dxa" w:w="4800"/>
            <w:shd w:fill="1F4E79" w:val="clear"/>
            <w:tcMar>
              <w:top w:type="dxa" w:w="80"/>
              <w:left w:type="dxa" w:w="100"/>
              <w:bottom w:type="dxa" w:w="80"/>
              <w:right w:type="dxa" w:w="100"/>
            </w:tcMar>
          </w:tcPr>
          <w:p>
            <w:r>
              <w:rPr>
                <w:b/>
                <w:bCs/>
                <w:color w:val="FFFFFF"/>
                <w:sz w:val="20"/>
                <w:szCs w:val="20"/>
              </w:rPr>
              <w:t xml:space="preserve">Description</w:t>
            </w:r>
          </w:p>
        </w:tc>
        <w:tc>
          <w:tcPr>
            <w:tcW w:type="dxa" w:w="2550"/>
            <w:shd w:fill="1F4E79" w:val="clear"/>
            <w:tcMar>
              <w:top w:type="dxa" w:w="80"/>
              <w:left w:type="dxa" w:w="100"/>
              <w:bottom w:type="dxa" w:w="80"/>
              <w:right w:type="dxa" w:w="100"/>
            </w:tcMar>
          </w:tcPr>
          <w:p>
            <w:r>
              <w:rPr>
                <w:b/>
                <w:bCs/>
                <w:color w:val="FFFFFF"/>
                <w:sz w:val="20"/>
                <w:szCs w:val="20"/>
              </w:rPr>
              <w:t xml:space="preserve">Format Notes</w:t>
            </w:r>
          </w:p>
        </w:tc>
      </w:tr>
      <w:tr>
        <w:tc>
          <w:tcPr>
            <w:tcW w:type="dxa" w:w="2000"/>
            <w:tcMar>
              <w:top w:type="dxa" w:w="60"/>
              <w:left w:type="dxa" w:w="100"/>
              <w:bottom w:type="dxa" w:w="60"/>
              <w:right w:type="dxa" w:w="100"/>
            </w:tcMar>
          </w:tcPr>
          <w:p>
            <w:r>
              <w:rPr>
                <w:sz w:val="20"/>
                <w:szCs w:val="20"/>
              </w:rPr>
              <w:t xml:space="preserve">profiles.csv</w:t>
            </w:r>
          </w:p>
        </w:tc>
        <w:tc>
          <w:tcPr>
            <w:tcW w:type="dxa" w:w="4800"/>
            <w:tcMar>
              <w:top w:type="dxa" w:w="60"/>
              <w:left w:type="dxa" w:w="100"/>
              <w:bottom w:type="dxa" w:w="60"/>
              <w:right w:type="dxa" w:w="100"/>
            </w:tcMar>
          </w:tcPr>
          <w:p>
            <w:r>
              <w:rPr>
                <w:sz w:val="20"/>
                <w:szCs w:val="20"/>
              </w:rPr>
              <w:t xml:space="preserve">Agent master data: agent_id, agent_name, team_lead, department, experience_years, location, joining_date, shift, email</w:t>
            </w:r>
          </w:p>
        </w:tc>
        <w:tc>
          <w:tcPr>
            <w:tcW w:type="dxa" w:w="2550"/>
            <w:tcMar>
              <w:top w:type="dxa" w:w="60"/>
              <w:left w:type="dxa" w:w="100"/>
              <w:bottom w:type="dxa" w:w="60"/>
              <w:right w:type="dxa" w:w="100"/>
            </w:tcMar>
          </w:tcPr>
          <w:p>
            <w:r>
              <w:rPr>
                <w:sz w:val="20"/>
                <w:szCs w:val="20"/>
              </w:rPr>
              <w:t xml:space="preserve">One row per agent</w:t>
            </w:r>
          </w:p>
        </w:tc>
      </w:tr>
      <w:tr>
        <w:tc>
          <w:tcPr>
            <w:tcW w:type="dxa" w:w="2000"/>
            <w:tcMar>
              <w:top w:type="dxa" w:w="60"/>
              <w:left w:type="dxa" w:w="100"/>
              <w:bottom w:type="dxa" w:w="60"/>
              <w:right w:type="dxa" w:w="100"/>
            </w:tcMar>
          </w:tcPr>
          <w:p>
            <w:r>
              <w:rPr>
                <w:sz w:val="20"/>
                <w:szCs w:val="20"/>
              </w:rPr>
              <w:t xml:space="preserve">day1.csv</w:t>
            </w:r>
          </w:p>
        </w:tc>
        <w:tc>
          <w:tcPr>
            <w:tcW w:type="dxa" w:w="4800"/>
            <w:tcMar>
              <w:top w:type="dxa" w:w="60"/>
              <w:left w:type="dxa" w:w="100"/>
              <w:bottom w:type="dxa" w:w="60"/>
              <w:right w:type="dxa" w:w="100"/>
            </w:tcMar>
          </w:tcPr>
          <w:p>
            <w:r>
              <w:rPr>
                <w:sz w:val="20"/>
                <w:szCs w:val="20"/>
              </w:rPr>
              <w:t xml:space="preserve">Day 1 ticket resolution log</w:t>
            </w:r>
          </w:p>
        </w:tc>
        <w:tc>
          <w:tcPr>
            <w:tcW w:type="dxa" w:w="2550"/>
            <w:tcMar>
              <w:top w:type="dxa" w:w="60"/>
              <w:left w:type="dxa" w:w="100"/>
              <w:bottom w:type="dxa" w:w="60"/>
              <w:right w:type="dxa" w:w="100"/>
            </w:tcMar>
          </w:tcPr>
          <w:p>
            <w:r>
              <w:rPr>
                <w:sz w:val="20"/>
                <w:szCs w:val="20"/>
              </w:rPr>
              <w:t xml:space="preserve">Contains a substantial number of intentionally invalid/malformed rows (blank ticket_id, malformed resolution_time values, and agent IDs not present in profiles.csv) used to validate pipeline robustness</w:t>
            </w:r>
          </w:p>
        </w:tc>
      </w:tr>
      <w:tr>
        <w:tc>
          <w:tcPr>
            <w:tcW w:type="dxa" w:w="2000"/>
            <w:tcMar>
              <w:top w:type="dxa" w:w="60"/>
              <w:left w:type="dxa" w:w="100"/>
              <w:bottom w:type="dxa" w:w="60"/>
              <w:right w:type="dxa" w:w="100"/>
            </w:tcMar>
          </w:tcPr>
          <w:p>
            <w:r>
              <w:rPr>
                <w:sz w:val="20"/>
                <w:szCs w:val="20"/>
              </w:rPr>
              <w:t xml:space="preserve">day2.csv</w:t>
            </w:r>
          </w:p>
        </w:tc>
        <w:tc>
          <w:tcPr>
            <w:tcW w:type="dxa" w:w="4800"/>
            <w:tcMar>
              <w:top w:type="dxa" w:w="60"/>
              <w:left w:type="dxa" w:w="100"/>
              <w:bottom w:type="dxa" w:w="60"/>
              <w:right w:type="dxa" w:w="100"/>
            </w:tcMar>
          </w:tcPr>
          <w:p>
            <w:r>
              <w:rPr>
                <w:sz w:val="20"/>
                <w:szCs w:val="20"/>
              </w:rPr>
              <w:t xml:space="preserve">Day 2 ticket resolution log</w:t>
            </w:r>
          </w:p>
        </w:tc>
        <w:tc>
          <w:tcPr>
            <w:tcW w:type="dxa" w:w="2550"/>
            <w:tcMar>
              <w:top w:type="dxa" w:w="60"/>
              <w:left w:type="dxa" w:w="100"/>
              <w:bottom w:type="dxa" w:w="60"/>
              <w:right w:type="dxa" w:w="100"/>
            </w:tcMar>
          </w:tcPr>
          <w:p>
            <w:r>
              <w:rPr>
                <w:sz w:val="20"/>
                <w:szCs w:val="20"/>
              </w:rPr>
              <w:t xml:space="preserve">Contains agents that also appear as successful on Day 1, exercising the carry-over rule; also contains its own invalid/out-of-scope rows</w:t>
            </w:r>
          </w:p>
        </w:tc>
      </w:tr>
    </w:tbl>
    <w:p>
      <w:pPr>
        <w:pStyle w:val="Heading2"/>
        <w:spacing w:after="120" w:before="260"/>
      </w:pPr>
      <w:r>
        <w:t xml:space="preserve">5.2 Storage Location</w:t>
      </w:r>
    </w:p>
    <w:p>
      <w:pPr>
        <w:spacing w:after="160"/>
      </w:pPr>
      <w:r>
        <w:t xml:space="preserve">Files are stored in a Unity Catalog Volume (Databricks-managed cloud storage), avoiding dependency on external cloud credentials:</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/Volumes/project/schema_project/volume_project/bronze/</w:t>
      </w:r>
    </w:p>
    <w:p>
      <w:pPr>
        <w:pStyle w:val="Heading1"/>
        <w:spacing w:after="160" w:before="360"/>
      </w:pPr>
      <w:r>
        <w:t xml:space="preserve">6. Implementation Details</w:t>
      </w:r>
    </w:p>
    <w:p>
      <w:pPr>
        <w:pStyle w:val="Heading2"/>
        <w:spacing w:after="120" w:before="260"/>
      </w:pPr>
      <w:r>
        <w:t xml:space="preserve">6.1 Bronze Layer — Ingestion</w:t>
      </w:r>
    </w:p>
    <w:p>
      <w:pPr>
        <w:spacing w:after="160"/>
      </w:pPr>
      <w:r>
        <w:t xml:space="preserve">Raw CSVs are read directly from the Volume path using Spark's DataFrameReader, preserving the source data as-is:</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df_profiles = spark.read.option("header","true").option("inferSchema","true") \</w:t>
      </w:r>
      <w:r>
        <w:br/>
        <w:t xml:space="preserve"/>
      </w:r>
      <w:r>
        <w:rPr>
          <w:rFonts w:ascii="Consolas" w:cs="Consolas" w:eastAsia="Consolas" w:hAnsi="Consolas"/>
          <w:sz w:val="18"/>
          <w:szCs w:val="18"/>
        </w:rPr>
        <w:t xml:space="preserve">    .csv(volume_path + "profiles.csv")</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df_profiles.write.format("delta").mode("overwrite") \</w:t>
      </w:r>
      <w:r>
        <w:br/>
        <w:t xml:space="preserve"/>
      </w:r>
      <w:r>
        <w:rPr>
          <w:rFonts w:ascii="Consolas" w:cs="Consolas" w:eastAsia="Consolas" w:hAnsi="Consolas"/>
          <w:sz w:val="18"/>
          <w:szCs w:val="18"/>
        </w:rPr>
        <w:t xml:space="preserve">    .option("overwriteSchema","true").saveAsTable(TBL_Profiles)</w:t>
      </w:r>
    </w:p>
    <w:p>
      <w:pPr>
        <w:spacing w:after="160"/>
      </w:pPr>
      <w:r>
        <w:t xml:space="preserve">The same pattern is applied to day1.csv and day2.csv, producing three Bronze Delta tables: bronze_profiles, bronze_day1, bronze_day2.</w:t>
      </w:r>
    </w:p>
    <w:p>
      <w:pPr>
        <w:pStyle w:val="Heading2"/>
        <w:spacing w:after="120" w:before="260"/>
      </w:pPr>
      <w:r>
        <w:t xml:space="preserve">6.2 Silver Layer — Cleaning &amp; Business Rules</w:t>
      </w:r>
    </w:p>
    <w:p>
      <w:pPr>
        <w:pStyle w:val="Heading3"/>
        <w:spacing w:after="100" w:before="200"/>
      </w:pPr>
      <w:r>
        <w:t xml:space="preserve">6.2.1 Null / Blank Filter</w:t>
      </w:r>
    </w:p>
    <w:p>
      <w:pPr>
        <w:spacing w:after="160"/>
      </w:pPr>
      <w:r>
        <w:t xml:space="preserve">Before anything else, rows with a blank or null ticket_id, agent_id, or resolution_time are removed:</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silver_day1_df = (bronze_day1_df</w:t>
      </w:r>
      <w:r>
        <w:br/>
        <w:t xml:space="preserve"/>
      </w:r>
      <w:r>
        <w:rPr>
          <w:rFonts w:ascii="Consolas" w:cs="Consolas" w:eastAsia="Consolas" w:hAnsi="Consolas"/>
          <w:sz w:val="18"/>
          <w:szCs w:val="18"/>
        </w:rPr>
        <w:t xml:space="preserve">    .filter(trim(col("ticket_id")) != "")</w:t>
      </w:r>
      <w:r>
        <w:br/>
        <w:t xml:space="preserve"/>
      </w:r>
      <w:r>
        <w:rPr>
          <w:rFonts w:ascii="Consolas" w:cs="Consolas" w:eastAsia="Consolas" w:hAnsi="Consolas"/>
          <w:sz w:val="18"/>
          <w:szCs w:val="18"/>
        </w:rPr>
        <w:t xml:space="preserve">    .filter(trim(col("agent_id")) != "")</w:t>
      </w:r>
      <w:r>
        <w:br/>
        <w:t xml:space="preserve"/>
      </w:r>
      <w:r>
        <w:rPr>
          <w:rFonts w:ascii="Consolas" w:cs="Consolas" w:eastAsia="Consolas" w:hAnsi="Consolas"/>
          <w:sz w:val="18"/>
          <w:szCs w:val="18"/>
        </w:rPr>
        <w:t xml:space="preserve">    .filter(trim(col("resolution_time")) != ""))</w:t>
      </w:r>
    </w:p>
    <w:p>
      <w:pPr>
        <w:pStyle w:val="Heading3"/>
        <w:spacing w:after="100" w:before="200"/>
      </w:pPr>
      <w:r>
        <w:t xml:space="preserve">6.2.2 Joining Agent Profiles</w:t>
      </w:r>
    </w:p>
    <w:p>
      <w:pPr>
        <w:spacing w:after="160"/>
      </w:pPr>
      <w:r>
        <w:t xml:space="preserve">Each day's ticket data is left-joined to the agent profile table on agent_id, enriching every ticket with agent_name and team_lead.</w:t>
      </w:r>
    </w:p>
    <w:p>
      <w:pPr>
        <w:pStyle w:val="Heading3"/>
        <w:spacing w:after="100" w:before="200"/>
      </w:pPr>
      <w:r>
        <w:t xml:space="preserve">6.2.3 Scope Filter</w:t>
      </w:r>
    </w:p>
    <w:p>
      <w:pPr>
        <w:spacing w:after="160"/>
      </w:pPr>
      <w:r>
        <w:t xml:space="preserve">Only records where team_lead is one of TL01 through TL08 are retained; all other agents — including tickets whose agent_id has no matching row in profiles.csv at all (team_lead is null after the join) — are dropped from further processing.</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valid_team_leads = ["TL01","TL02","TL03","TL04","TL05","TL06","TL07","TL08"]</w:t>
      </w:r>
      <w:r>
        <w:br/>
        <w:t xml:space="preserve"/>
      </w:r>
      <w:r>
        <w:rPr>
          <w:rFonts w:ascii="Consolas" w:cs="Consolas" w:eastAsia="Consolas" w:hAnsi="Consolas"/>
          <w:sz w:val="18"/>
          <w:szCs w:val="18"/>
        </w:rPr>
        <w:t xml:space="preserve">silver_day1_df = silver_day1_df.filter(col("team_lead").isin(valid_team_leads))</w:t>
      </w:r>
    </w:p>
    <w:p>
      <w:pPr>
        <w:pStyle w:val="Heading3"/>
        <w:spacing w:after="100" w:before="200"/>
      </w:pPr>
      <w:r>
        <w:t xml:space="preserve">6.2.4 Resolution Time Conversion</w:t>
      </w:r>
    </w:p>
    <w:p>
      <w:pPr>
        <w:spacing w:after="160"/>
      </w:pPr>
      <w:r>
        <w:t xml:space="preserve">Resolution time strings (e.g. "1h22m34s") are parsed with a regular expression and converted into total whole minutes, with the rounding rule applied (seconds ≥ 30 round up by one minute; otherwise the seconds are dropped). Strings that don't match the expected pattern (e.g. "BADTIME") return null and are removed by the quality threshold filter below.</w:t>
      </w:r>
    </w:p>
    <w:p>
      <w:pPr>
        <w:pStyle w:val="Heading3"/>
        <w:spacing w:after="100" w:before="200"/>
      </w:pPr>
      <w:r>
        <w:t xml:space="preserve">6.2.5 Quality Threshold Filter</w:t>
      </w:r>
    </w:p>
    <w:p>
      <w:pPr>
        <w:spacing w:after="160"/>
      </w:pPr>
      <w:r>
        <w:t xml:space="preserve">Only rows with status = "Resolved" AND converted resolution time greater than 15 minutes are kept as valid, successful resolutions.</w:t>
      </w:r>
    </w:p>
    <w:p>
      <w:pPr>
        <w:pStyle w:val="Heading3"/>
        <w:spacing w:after="100" w:before="200"/>
      </w:pPr>
      <w:r>
        <w:t xml:space="preserve">6.2.6 Day 2 Carry-over Rule</w:t>
      </w:r>
    </w:p>
    <w:p>
      <w:pPr>
        <w:spacing w:after="160"/>
      </w:pPr>
      <w:r>
        <w:t xml:space="preserve">Agents who succeeded on Day 1 are excluded from the Day 2 result set using a left-anti join, preventing an agent's performance from being double-counted across both days:</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day1_successful_agents = silver_day1_df.select("agent_id").distinct()</w:t>
      </w:r>
      <w:r>
        <w:br/>
        <w:t xml:space="preserve"/>
      </w:r>
      <w:r>
        <w:rPr>
          <w:rFonts w:ascii="Consolas" w:cs="Consolas" w:eastAsia="Consolas" w:hAnsi="Consolas"/>
          <w:sz w:val="18"/>
          <w:szCs w:val="18"/>
        </w:rPr>
        <w:t xml:space="preserve"> </w:t>
      </w:r>
      <w:r>
        <w:br/>
        <w:t xml:space="preserve"/>
      </w:r>
      <w:r>
        <w:rPr>
          <w:rFonts w:ascii="Consolas" w:cs="Consolas" w:eastAsia="Consolas" w:hAnsi="Consolas"/>
          <w:sz w:val="18"/>
          <w:szCs w:val="18"/>
        </w:rPr>
        <w:t xml:space="preserve">silver_day2_final_df = silver_day2_df.join(</w:t>
      </w:r>
      <w:r>
        <w:br/>
        <w:t xml:space="preserve"/>
      </w:r>
      <w:r>
        <w:rPr>
          <w:rFonts w:ascii="Consolas" w:cs="Consolas" w:eastAsia="Consolas" w:hAnsi="Consolas"/>
          <w:sz w:val="18"/>
          <w:szCs w:val="18"/>
        </w:rPr>
        <w:t xml:space="preserve">    day1_successful_agents, on="agent_id", how="left_anti"</w:t>
      </w:r>
      <w:r>
        <w:br/>
        <w:t xml:space="preserve"/>
      </w:r>
      <w:r>
        <w:rPr>
          <w:rFonts w:ascii="Consolas" w:cs="Consolas" w:eastAsia="Consolas" w:hAnsi="Consolas"/>
          <w:sz w:val="18"/>
          <w:szCs w:val="18"/>
        </w:rPr>
        <w:t xml:space="preserve">)</w:t>
      </w:r>
    </w:p>
    <w:p>
      <w:pPr>
        <w:spacing w:after="160"/>
      </w:pPr>
      <w:r>
        <w:t xml:space="preserve">Output tables: silver_day1, silver_day2.</w:t>
      </w:r>
    </w:p>
    <w:p>
      <w:pPr>
        <w:pStyle w:val="Heading2"/>
        <w:spacing w:after="120" w:before="260"/>
      </w:pPr>
      <w:r>
        <w:t xml:space="preserve">6.3 Gold Layer — Aggregation &amp; KPIs</w:t>
      </w:r>
    </w:p>
    <w:p>
      <w:pPr>
        <w:spacing w:after="160"/>
      </w:pPr>
      <w:r>
        <w:t xml:space="preserve">The Gold layer first combines the two Silver tables (Day 2 has already been de-duplicated against Day 1 by the carry-over rule, so a simple union is safe):</w:t>
      </w:r>
    </w:p>
    <w:p>
      <w:pPr>
        <w:pBdr>
          <w:top w:val="single" w:color="CCCCCC" w:sz="4"/>
          <w:bottom w:val="single" w:color="CCCCCC" w:sz="4"/>
          <w:left w:val="single" w:color="CCCCCC" w:sz="4"/>
          <w:right w:val="single" w:color="CCCCCC" w:sz="4"/>
        </w:pBdr>
        <w:shd w:fill="F2F2F2" w:val="clear"/>
        <w:spacing w:after="120" w:before="120"/>
      </w:pPr>
      <w:r>
        <w:rPr>
          <w:rFonts w:ascii="Consolas" w:cs="Consolas" w:eastAsia="Consolas" w:hAnsi="Consolas"/>
          <w:sz w:val="18"/>
          <w:szCs w:val="18"/>
        </w:rPr>
        <w:t xml:space="preserve">final_df = silver_day1_df.unionByName(silver_day2_df)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050"/>
      </w:tblGrid>
      <w:tr>
        <w:trPr>
          <w:tblHeader/>
        </w:trPr>
        <w:tc>
          <w:tcPr>
            <w:tcW w:type="dxa" w:w="3000"/>
            <w:shd w:fill="1F4E79" w:val="clear"/>
            <w:tcMar>
              <w:top w:type="dxa" w:w="80"/>
              <w:left w:type="dxa" w:w="100"/>
              <w:bottom w:type="dxa" w:w="80"/>
              <w:right w:type="dxa" w:w="100"/>
            </w:tcMar>
          </w:tcPr>
          <w:p>
            <w:r>
              <w:rPr>
                <w:b/>
                <w:bCs/>
                <w:color w:val="FFFFFF"/>
                <w:sz w:val="20"/>
                <w:szCs w:val="20"/>
              </w:rPr>
              <w:t xml:space="preserve">Gold Table</w:t>
            </w:r>
          </w:p>
        </w:tc>
        <w:tc>
          <w:tcPr>
            <w:tcW w:type="dxa" w:w="3300"/>
            <w:shd w:fill="1F4E79" w:val="clear"/>
            <w:tcMar>
              <w:top w:type="dxa" w:w="80"/>
              <w:left w:type="dxa" w:w="100"/>
              <w:bottom w:type="dxa" w:w="80"/>
              <w:right w:type="dxa" w:w="100"/>
            </w:tcMar>
          </w:tcPr>
          <w:p>
            <w:r>
              <w:rPr>
                <w:b/>
                <w:bCs/>
                <w:color w:val="FFFFFF"/>
                <w:sz w:val="20"/>
                <w:szCs w:val="20"/>
              </w:rPr>
              <w:t xml:space="preserve">Grouped By</w:t>
            </w:r>
          </w:p>
        </w:tc>
        <w:tc>
          <w:tcPr>
            <w:tcW w:type="dxa" w:w="3050"/>
            <w:shd w:fill="1F4E79" w:val="clear"/>
            <w:tcMar>
              <w:top w:type="dxa" w:w="80"/>
              <w:left w:type="dxa" w:w="100"/>
              <w:bottom w:type="dxa" w:w="80"/>
              <w:right w:type="dxa" w:w="100"/>
            </w:tcMar>
          </w:tcPr>
          <w:p>
            <w:r>
              <w:rPr>
                <w:b/>
                <w:bCs/>
                <w:color w:val="FFFFFF"/>
                <w:sz w:val="20"/>
                <w:szCs w:val="20"/>
              </w:rPr>
              <w:t xml:space="preserve">Metrics</w:t>
            </w:r>
          </w:p>
        </w:tc>
      </w:tr>
      <w:tr>
        <w:tc>
          <w:tcPr>
            <w:tcW w:type="dxa" w:w="3000"/>
            <w:tcMar>
              <w:top w:type="dxa" w:w="60"/>
              <w:left w:type="dxa" w:w="100"/>
              <w:bottom w:type="dxa" w:w="60"/>
              <w:right w:type="dxa" w:w="100"/>
            </w:tcMar>
          </w:tcPr>
          <w:p>
            <w:r>
              <w:rPr>
                <w:sz w:val="20"/>
                <w:szCs w:val="20"/>
              </w:rPr>
              <w:t xml:space="preserve">gold_team_performance</w:t>
            </w:r>
          </w:p>
        </w:tc>
        <w:tc>
          <w:tcPr>
            <w:tcW w:type="dxa" w:w="3300"/>
            <w:tcMar>
              <w:top w:type="dxa" w:w="60"/>
              <w:left w:type="dxa" w:w="100"/>
              <w:bottom w:type="dxa" w:w="60"/>
              <w:right w:type="dxa" w:w="100"/>
            </w:tcMar>
          </w:tcPr>
          <w:p>
            <w:r>
              <w:rPr>
                <w:sz w:val="20"/>
                <w:szCs w:val="20"/>
              </w:rPr>
              <w:t xml:space="preserve">team_lead</w:t>
            </w:r>
          </w:p>
        </w:tc>
        <w:tc>
          <w:tcPr>
            <w:tcW w:type="dxa" w:w="3050"/>
            <w:tcMar>
              <w:top w:type="dxa" w:w="60"/>
              <w:left w:type="dxa" w:w="100"/>
              <w:bottom w:type="dxa" w:w="60"/>
              <w:right w:type="dxa" w:w="100"/>
            </w:tcMar>
          </w:tcPr>
          <w:p>
            <w:r>
              <w:rPr>
                <w:sz w:val="20"/>
                <w:szCs w:val="20"/>
              </w:rPr>
              <w:t xml:space="preserve">total_resolved_tickets, avg_resolution_minutes</w:t>
            </w:r>
          </w:p>
        </w:tc>
      </w:tr>
      <w:tr>
        <w:tc>
          <w:tcPr>
            <w:tcW w:type="dxa" w:w="3000"/>
            <w:tcMar>
              <w:top w:type="dxa" w:w="60"/>
              <w:left w:type="dxa" w:w="100"/>
              <w:bottom w:type="dxa" w:w="60"/>
              <w:right w:type="dxa" w:w="100"/>
            </w:tcMar>
          </w:tcPr>
          <w:p>
            <w:r>
              <w:rPr>
                <w:sz w:val="20"/>
                <w:szCs w:val="20"/>
              </w:rPr>
              <w:t xml:space="preserve">gold_agent_performance</w:t>
            </w:r>
          </w:p>
        </w:tc>
        <w:tc>
          <w:tcPr>
            <w:tcW w:type="dxa" w:w="3300"/>
            <w:tcMar>
              <w:top w:type="dxa" w:w="60"/>
              <w:left w:type="dxa" w:w="100"/>
              <w:bottom w:type="dxa" w:w="60"/>
              <w:right w:type="dxa" w:w="100"/>
            </w:tcMar>
          </w:tcPr>
          <w:p>
            <w:r>
              <w:rPr>
                <w:sz w:val="20"/>
                <w:szCs w:val="20"/>
              </w:rPr>
              <w:t xml:space="preserve">agent_id, agent_name, team_lead (across combined Day 1 + Day 2 data)</w:t>
            </w:r>
          </w:p>
        </w:tc>
        <w:tc>
          <w:tcPr>
            <w:tcW w:type="dxa" w:w="3050"/>
            <w:tcMar>
              <w:top w:type="dxa" w:w="60"/>
              <w:left w:type="dxa" w:w="100"/>
              <w:bottom w:type="dxa" w:w="60"/>
              <w:right w:type="dxa" w:w="100"/>
            </w:tcMar>
          </w:tcPr>
          <w:p>
            <w:r>
              <w:rPr>
                <w:sz w:val="20"/>
                <w:szCs w:val="20"/>
              </w:rPr>
              <w:t xml:space="preserve">resolved_tickets, avg_resolution_minutes</w:t>
            </w:r>
          </w:p>
        </w:tc>
      </w:tr>
      <w:tr>
        <w:tc>
          <w:tcPr>
            <w:tcW w:type="dxa" w:w="3000"/>
            <w:tcMar>
              <w:top w:type="dxa" w:w="60"/>
              <w:left w:type="dxa" w:w="100"/>
              <w:bottom w:type="dxa" w:w="60"/>
              <w:right w:type="dxa" w:w="100"/>
            </w:tcMar>
          </w:tcPr>
          <w:p>
            <w:r>
              <w:rPr>
                <w:sz w:val="20"/>
                <w:szCs w:val="20"/>
              </w:rPr>
              <w:t xml:space="preserve">gold_category_performance</w:t>
            </w:r>
          </w:p>
        </w:tc>
        <w:tc>
          <w:tcPr>
            <w:tcW w:type="dxa" w:w="3300"/>
            <w:tcMar>
              <w:top w:type="dxa" w:w="60"/>
              <w:left w:type="dxa" w:w="100"/>
              <w:bottom w:type="dxa" w:w="60"/>
              <w:right w:type="dxa" w:w="100"/>
            </w:tcMar>
          </w:tcPr>
          <w:p>
            <w:r>
              <w:rPr>
                <w:sz w:val="20"/>
                <w:szCs w:val="20"/>
              </w:rPr>
              <w:t xml:space="preserve">category</w:t>
            </w:r>
          </w:p>
        </w:tc>
        <w:tc>
          <w:tcPr>
            <w:tcW w:type="dxa" w:w="3050"/>
            <w:tcMar>
              <w:top w:type="dxa" w:w="60"/>
              <w:left w:type="dxa" w:w="100"/>
              <w:bottom w:type="dxa" w:w="60"/>
              <w:right w:type="dxa" w:w="100"/>
            </w:tcMar>
          </w:tcPr>
          <w:p>
            <w:r>
              <w:rPr>
                <w:sz w:val="20"/>
                <w:szCs w:val="20"/>
              </w:rPr>
              <w:t xml:space="preserve">ticket_count, avg_resolution_minutes</w:t>
            </w:r>
          </w:p>
        </w:tc>
      </w:tr>
      <w:tr>
        <w:tc>
          <w:tcPr>
            <w:tcW w:type="dxa" w:w="3000"/>
            <w:tcMar>
              <w:top w:type="dxa" w:w="60"/>
              <w:left w:type="dxa" w:w="100"/>
              <w:bottom w:type="dxa" w:w="60"/>
              <w:right w:type="dxa" w:w="100"/>
            </w:tcMar>
          </w:tcPr>
          <w:p>
            <w:r>
              <w:rPr>
                <w:sz w:val="20"/>
                <w:szCs w:val="20"/>
              </w:rPr>
              <w:t xml:space="preserve">gold_summary</w:t>
            </w:r>
          </w:p>
        </w:tc>
        <w:tc>
          <w:tcPr>
            <w:tcW w:type="dxa" w:w="3300"/>
            <w:tcMar>
              <w:top w:type="dxa" w:w="60"/>
              <w:left w:type="dxa" w:w="100"/>
              <w:bottom w:type="dxa" w:w="60"/>
              <w:right w:type="dxa" w:w="100"/>
            </w:tcMar>
          </w:tcPr>
          <w:p>
            <w:r>
              <w:rPr>
                <w:sz w:val="20"/>
                <w:szCs w:val="20"/>
              </w:rPr>
              <w:t xml:space="preserve">(whole dataset, no grouping)</w:t>
            </w:r>
          </w:p>
        </w:tc>
        <w:tc>
          <w:tcPr>
            <w:tcW w:type="dxa" w:w="3050"/>
            <w:tcMar>
              <w:top w:type="dxa" w:w="60"/>
              <w:left w:type="dxa" w:w="100"/>
              <w:bottom w:type="dxa" w:w="60"/>
              <w:right w:type="dxa" w:w="100"/>
            </w:tcMar>
          </w:tcPr>
          <w:p>
            <w:r>
              <w:rPr>
                <w:sz w:val="20"/>
                <w:szCs w:val="20"/>
              </w:rPr>
              <w:t xml:space="preserve">total_agents (distinct), total_resolved_tickets, avg_resolution_time, max_resolution_time, min_resolution_time</w:t>
            </w:r>
          </w:p>
        </w:tc>
      </w:tr>
    </w:tbl>
    <w:p>
      <w:pPr>
        <w:pStyle w:val="Heading1"/>
        <w:spacing w:after="160" w:before="360"/>
      </w:pPr>
      <w:r>
        <w:t xml:space="preserve">7. Cloud Storage &amp; Environment Setup</w:t>
      </w:r>
    </w:p>
    <w:p>
      <w:pPr>
        <w:spacing w:after="160"/>
      </w:pPr>
      <w:r>
        <w:t xml:space="preserve">The project was implemented on Databricks Free Edition using Unity Catalog Volumes for file storage, avoiding reliance on an external Azure subscription and its associated costs. An earlier iteration used Azure Data Lake Storage Gen2 with a Unity Catalog External Location secured via an Azure Managed Identity (Access Connector for Azure Databricks); this was replaced with a Volume-based approach for cost and simplicity reasons, with no change to the transformation logic.</w:t>
      </w:r>
    </w:p>
    <w:p>
      <w:pPr>
        <w:pStyle w:val="Heading1"/>
        <w:spacing w:after="160" w:before="360"/>
      </w:pPr>
      <w:r>
        <w:t xml:space="preserve">8. Orchestration — Databricks Job</w:t>
      </w:r>
    </w:p>
    <w:p>
      <w:pPr>
        <w:spacing w:after="160"/>
      </w:pPr>
      <w:r>
        <w:t xml:space="preserve">The four notebooks are wired together as a single Databricks Job (Customer_Support_Ticket_Resolution_Pipeline) with sequential task dependencies, enabling one-click, repeatable execution of the full pipeline: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450"/>
        <w:gridCol w:w="2500"/>
      </w:tblGrid>
      <w:tr>
        <w:trPr>
          <w:tblHeader/>
        </w:trPr>
        <w:tc>
          <w:tcPr>
            <w:tcW w:type="dxa" w:w="2200"/>
            <w:shd w:fill="1F4E79" w:val="clear"/>
            <w:tcMar>
              <w:top w:type="dxa" w:w="80"/>
              <w:left w:type="dxa" w:w="100"/>
              <w:bottom w:type="dxa" w:w="80"/>
              <w:right w:type="dxa" w:w="100"/>
            </w:tcMar>
          </w:tcPr>
          <w:p>
            <w:r>
              <w:rPr>
                <w:b/>
                <w:bCs/>
                <w:color w:val="FFFFFF"/>
                <w:sz w:val="20"/>
                <w:szCs w:val="20"/>
              </w:rPr>
              <w:t xml:space="preserve">Task Key</w:t>
            </w:r>
          </w:p>
        </w:tc>
        <w:tc>
          <w:tcPr>
            <w:tcW w:type="dxa" w:w="2200"/>
            <w:shd w:fill="1F4E79" w:val="clear"/>
            <w:tcMar>
              <w:top w:type="dxa" w:w="80"/>
              <w:left w:type="dxa" w:w="100"/>
              <w:bottom w:type="dxa" w:w="80"/>
              <w:right w:type="dxa" w:w="100"/>
            </w:tcMar>
          </w:tcPr>
          <w:p>
            <w:r>
              <w:rPr>
                <w:b/>
                <w:bCs/>
                <w:color w:val="FFFFFF"/>
                <w:sz w:val="20"/>
                <w:szCs w:val="20"/>
              </w:rPr>
              <w:t xml:space="preserve">Notebook</w:t>
            </w:r>
          </w:p>
        </w:tc>
        <w:tc>
          <w:tcPr>
            <w:tcW w:type="dxa" w:w="2450"/>
            <w:shd w:fill="1F4E79" w:val="clear"/>
            <w:tcMar>
              <w:top w:type="dxa" w:w="80"/>
              <w:left w:type="dxa" w:w="100"/>
              <w:bottom w:type="dxa" w:w="80"/>
              <w:right w:type="dxa" w:w="100"/>
            </w:tcMar>
          </w:tcPr>
          <w:p>
            <w:r>
              <w:rPr>
                <w:b/>
                <w:bCs/>
                <w:color w:val="FFFFFF"/>
                <w:sz w:val="20"/>
                <w:szCs w:val="20"/>
              </w:rPr>
              <w:t xml:space="preserve">Depends On</w:t>
            </w:r>
          </w:p>
        </w:tc>
        <w:tc>
          <w:tcPr>
            <w:tcW w:type="dxa" w:w="2500"/>
            <w:shd w:fill="1F4E79" w:val="clear"/>
            <w:tcMar>
              <w:top w:type="dxa" w:w="80"/>
              <w:left w:type="dxa" w:w="100"/>
              <w:bottom w:type="dxa" w:w="80"/>
              <w:right w:type="dxa" w:w="100"/>
            </w:tcMar>
          </w:tcPr>
          <w:p>
            <w:r>
              <w:rPr>
                <w:b/>
                <w:bCs/>
                <w:color w:val="FFFFFF"/>
                <w:sz w:val="20"/>
                <w:szCs w:val="20"/>
              </w:rPr>
              <w:t xml:space="preserve">Run Condition</w:t>
            </w:r>
          </w:p>
        </w:tc>
      </w:tr>
      <w:tr>
        <w:tc>
          <w:tcPr>
            <w:tcW w:type="dxa" w:w="2200"/>
            <w:tcMar>
              <w:top w:type="dxa" w:w="60"/>
              <w:left w:type="dxa" w:w="100"/>
              <w:bottom w:type="dxa" w:w="60"/>
              <w:right w:type="dxa" w:w="100"/>
            </w:tcMar>
          </w:tcPr>
          <w:p>
            <w:r>
              <w:rPr>
                <w:sz w:val="20"/>
                <w:szCs w:val="20"/>
              </w:rPr>
              <w:t xml:space="preserve">Config</w:t>
            </w:r>
          </w:p>
        </w:tc>
        <w:tc>
          <w:tcPr>
            <w:tcW w:type="dxa" w:w="2200"/>
            <w:tcMar>
              <w:top w:type="dxa" w:w="60"/>
              <w:left w:type="dxa" w:w="100"/>
              <w:bottom w:type="dxa" w:w="60"/>
              <w:right w:type="dxa" w:w="100"/>
            </w:tcMar>
          </w:tcPr>
          <w:p>
            <w:r>
              <w:rPr>
                <w:sz w:val="20"/>
                <w:szCs w:val="20"/>
              </w:rPr>
              <w:t xml:space="preserve">Config</w:t>
            </w:r>
          </w:p>
        </w:tc>
        <w:tc>
          <w:tcPr>
            <w:tcW w:type="dxa" w:w="2450"/>
            <w:tcMar>
              <w:top w:type="dxa" w:w="60"/>
              <w:left w:type="dxa" w:w="100"/>
              <w:bottom w:type="dxa" w:w="60"/>
              <w:right w:type="dxa" w:w="100"/>
            </w:tcMar>
          </w:tcPr>
          <w:p>
            <w:r>
              <w:rPr>
                <w:sz w:val="20"/>
                <w:szCs w:val="20"/>
              </w:rPr>
              <w:t xml:space="preserve">—</w:t>
            </w:r>
          </w:p>
        </w:tc>
        <w:tc>
          <w:tcPr>
            <w:tcW w:type="dxa" w:w="2500"/>
            <w:tcMar>
              <w:top w:type="dxa" w:w="60"/>
              <w:left w:type="dxa" w:w="100"/>
              <w:bottom w:type="dxa" w:w="60"/>
              <w:right w:type="dxa" w:w="100"/>
            </w:tcMar>
          </w:tcPr>
          <w:p>
            <w:r>
              <w:rPr>
                <w:sz w:val="20"/>
                <w:szCs w:val="20"/>
              </w:rPr>
              <w:t xml:space="preserve">ALL_SUCCESS</w:t>
            </w:r>
          </w:p>
        </w:tc>
      </w:tr>
      <w:tr>
        <w:tc>
          <w:tcPr>
            <w:tcW w:type="dxa" w:w="2200"/>
            <w:tcMar>
              <w:top w:type="dxa" w:w="60"/>
              <w:left w:type="dxa" w:w="100"/>
              <w:bottom w:type="dxa" w:w="60"/>
              <w:right w:type="dxa" w:w="100"/>
            </w:tcMar>
          </w:tcPr>
          <w:p>
            <w:r>
              <w:rPr>
                <w:sz w:val="20"/>
                <w:szCs w:val="20"/>
              </w:rPr>
              <w:t xml:space="preserve">Task_Bronze</w:t>
            </w:r>
          </w:p>
        </w:tc>
        <w:tc>
          <w:tcPr>
            <w:tcW w:type="dxa" w:w="2200"/>
            <w:tcMar>
              <w:top w:type="dxa" w:w="60"/>
              <w:left w:type="dxa" w:w="100"/>
              <w:bottom w:type="dxa" w:w="60"/>
              <w:right w:type="dxa" w:w="100"/>
            </w:tcMar>
          </w:tcPr>
          <w:p>
            <w:r>
              <w:rPr>
                <w:sz w:val="20"/>
                <w:szCs w:val="20"/>
              </w:rPr>
              <w:t xml:space="preserve">Bronze</w:t>
            </w:r>
          </w:p>
        </w:tc>
        <w:tc>
          <w:tcPr>
            <w:tcW w:type="dxa" w:w="2450"/>
            <w:tcMar>
              <w:top w:type="dxa" w:w="60"/>
              <w:left w:type="dxa" w:w="100"/>
              <w:bottom w:type="dxa" w:w="60"/>
              <w:right w:type="dxa" w:w="100"/>
            </w:tcMar>
          </w:tcPr>
          <w:p>
            <w:r>
              <w:rPr>
                <w:sz w:val="20"/>
                <w:szCs w:val="20"/>
              </w:rPr>
              <w:t xml:space="preserve">Config</w:t>
            </w:r>
          </w:p>
        </w:tc>
        <w:tc>
          <w:tcPr>
            <w:tcW w:type="dxa" w:w="2500"/>
            <w:tcMar>
              <w:top w:type="dxa" w:w="60"/>
              <w:left w:type="dxa" w:w="100"/>
              <w:bottom w:type="dxa" w:w="60"/>
              <w:right w:type="dxa" w:w="100"/>
            </w:tcMar>
          </w:tcPr>
          <w:p>
            <w:r>
              <w:rPr>
                <w:sz w:val="20"/>
                <w:szCs w:val="20"/>
              </w:rPr>
              <w:t xml:space="preserve">ALL_SUCCESS</w:t>
            </w:r>
          </w:p>
        </w:tc>
      </w:tr>
      <w:tr>
        <w:tc>
          <w:tcPr>
            <w:tcW w:type="dxa" w:w="2200"/>
            <w:tcMar>
              <w:top w:type="dxa" w:w="60"/>
              <w:left w:type="dxa" w:w="100"/>
              <w:bottom w:type="dxa" w:w="60"/>
              <w:right w:type="dxa" w:w="100"/>
            </w:tcMar>
          </w:tcPr>
          <w:p>
            <w:r>
              <w:rPr>
                <w:sz w:val="20"/>
                <w:szCs w:val="20"/>
              </w:rPr>
              <w:t xml:space="preserve">Task_Silver</w:t>
            </w:r>
          </w:p>
        </w:tc>
        <w:tc>
          <w:tcPr>
            <w:tcW w:type="dxa" w:w="2200"/>
            <w:tcMar>
              <w:top w:type="dxa" w:w="60"/>
              <w:left w:type="dxa" w:w="100"/>
              <w:bottom w:type="dxa" w:w="60"/>
              <w:right w:type="dxa" w:w="100"/>
            </w:tcMar>
          </w:tcPr>
          <w:p>
            <w:r>
              <w:rPr>
                <w:sz w:val="20"/>
                <w:szCs w:val="20"/>
              </w:rPr>
              <w:t xml:space="preserve">Silver</w:t>
            </w:r>
          </w:p>
        </w:tc>
        <w:tc>
          <w:tcPr>
            <w:tcW w:type="dxa" w:w="2450"/>
            <w:tcMar>
              <w:top w:type="dxa" w:w="60"/>
              <w:left w:type="dxa" w:w="100"/>
              <w:bottom w:type="dxa" w:w="60"/>
              <w:right w:type="dxa" w:w="100"/>
            </w:tcMar>
          </w:tcPr>
          <w:p>
            <w:r>
              <w:rPr>
                <w:sz w:val="20"/>
                <w:szCs w:val="20"/>
              </w:rPr>
              <w:t xml:space="preserve">Task_Bronze</w:t>
            </w:r>
          </w:p>
        </w:tc>
        <w:tc>
          <w:tcPr>
            <w:tcW w:type="dxa" w:w="2500"/>
            <w:tcMar>
              <w:top w:type="dxa" w:w="60"/>
              <w:left w:type="dxa" w:w="100"/>
              <w:bottom w:type="dxa" w:w="60"/>
              <w:right w:type="dxa" w:w="100"/>
            </w:tcMar>
          </w:tcPr>
          <w:p>
            <w:r>
              <w:rPr>
                <w:sz w:val="20"/>
                <w:szCs w:val="20"/>
              </w:rPr>
              <w:t xml:space="preserve">ALL_SUCCESS</w:t>
            </w:r>
          </w:p>
        </w:tc>
      </w:tr>
      <w:tr>
        <w:tc>
          <w:tcPr>
            <w:tcW w:type="dxa" w:w="2200"/>
            <w:tcMar>
              <w:top w:type="dxa" w:w="60"/>
              <w:left w:type="dxa" w:w="100"/>
              <w:bottom w:type="dxa" w:w="60"/>
              <w:right w:type="dxa" w:w="100"/>
            </w:tcMar>
          </w:tcPr>
          <w:p>
            <w:r>
              <w:rPr>
                <w:sz w:val="20"/>
                <w:szCs w:val="20"/>
              </w:rPr>
              <w:t xml:space="preserve">Task_Gold</w:t>
            </w:r>
          </w:p>
        </w:tc>
        <w:tc>
          <w:tcPr>
            <w:tcW w:type="dxa" w:w="2200"/>
            <w:tcMar>
              <w:top w:type="dxa" w:w="60"/>
              <w:left w:type="dxa" w:w="100"/>
              <w:bottom w:type="dxa" w:w="60"/>
              <w:right w:type="dxa" w:w="100"/>
            </w:tcMar>
          </w:tcPr>
          <w:p>
            <w:r>
              <w:rPr>
                <w:sz w:val="20"/>
                <w:szCs w:val="20"/>
              </w:rPr>
              <w:t xml:space="preserve">Gold</w:t>
            </w:r>
          </w:p>
        </w:tc>
        <w:tc>
          <w:tcPr>
            <w:tcW w:type="dxa" w:w="2450"/>
            <w:tcMar>
              <w:top w:type="dxa" w:w="60"/>
              <w:left w:type="dxa" w:w="100"/>
              <w:bottom w:type="dxa" w:w="60"/>
              <w:right w:type="dxa" w:w="100"/>
            </w:tcMar>
          </w:tcPr>
          <w:p>
            <w:r>
              <w:rPr>
                <w:sz w:val="20"/>
                <w:szCs w:val="20"/>
              </w:rPr>
              <w:t xml:space="preserve">Task_Silver</w:t>
            </w:r>
          </w:p>
        </w:tc>
        <w:tc>
          <w:tcPr>
            <w:tcW w:type="dxa" w:w="2500"/>
            <w:tcMar>
              <w:top w:type="dxa" w:w="60"/>
              <w:left w:type="dxa" w:w="100"/>
              <w:bottom w:type="dxa" w:w="60"/>
              <w:right w:type="dxa" w:w="100"/>
            </w:tcMar>
          </w:tcPr>
          <w:p>
            <w:r>
              <w:rPr>
                <w:sz w:val="20"/>
                <w:szCs w:val="20"/>
              </w:rPr>
              <w:t xml:space="preserve">ALL_SUCCESS</w:t>
            </w:r>
          </w:p>
        </w:tc>
      </w:tr>
    </w:tbl>
    <w:p>
      <w:pPr>
        <w:spacing w:after="160"/>
      </w:pPr>
      <w:r>
        <w:t xml:space="preserve">Running the Job executes Config, then Bronze, then Silver, then Gold in order, with each stage reading its input from the Delta table written by the previous stage (via spark.table(...)) rather than relying on in-memory notebook state. Each task is configured with run_if: ALL_SUCCESS, so a failure at any stage halts the pipeline rather than propagating bad data forward.</w:t>
      </w:r>
    </w:p>
    <w:p>
      <w:pPr>
        <w:pStyle w:val="Heading1"/>
        <w:spacing w:after="160" w:before="360"/>
      </w:pPr>
      <w:r>
        <w:t xml:space="preserve">9. Data Validation &amp; Testing</w:t>
      </w:r>
    </w:p>
    <w:p>
      <w:pPr>
        <w:spacing w:after="160"/>
      </w:pPr>
      <w:r>
        <w:t xml:space="preserve">The source datasets intentionally include a substantial number of edge cases to validate the pipeline's robustness:</w:t>
      </w:r>
    </w:p>
    <w:p>
      <w:pPr>
        <w:pStyle w:val="ListParagraph"/>
        <w:numPr>
          <w:ilvl w:val="0"/>
          <w:numId w:val="1"/>
        </w:numPr>
        <w:spacing w:after="80"/>
      </w:pPr>
      <w:r>
        <w:t xml:space="preserve">Blank / missing ticket_id values (present in both day1.csv and day2.csv) — excluded by the null/blank filter</w:t>
      </w:r>
    </w:p>
    <w:p>
      <w:pPr>
        <w:pStyle w:val="ListParagraph"/>
        <w:numPr>
          <w:ilvl w:val="0"/>
          <w:numId w:val="1"/>
        </w:numPr>
        <w:spacing w:after="80"/>
      </w:pPr>
      <w:r>
        <w:t xml:space="preserve">Malformed resolution_time values (e.g. "BADTIME") — parsed to null by the regex conversion and excluded by the quality threshold filter, without failing the job</w:t>
      </w:r>
    </w:p>
    <w:p>
      <w:pPr>
        <w:pStyle w:val="ListParagraph"/>
        <w:numPr>
          <w:ilvl w:val="0"/>
          <w:numId w:val="1"/>
        </w:numPr>
        <w:spacing w:after="80"/>
      </w:pPr>
      <w:r>
        <w:t xml:space="preserve">Agent IDs with no matching row in profiles.csv (e.g. AX9999) — produce a null team_lead after the left join and are removed by the scope filter</w:t>
      </w:r>
    </w:p>
    <w:p>
      <w:pPr>
        <w:pStyle w:val="ListParagraph"/>
        <w:numPr>
          <w:ilvl w:val="0"/>
          <w:numId w:val="1"/>
        </w:numPr>
        <w:spacing w:after="80"/>
      </w:pPr>
      <w:r>
        <w:t xml:space="preserve">Agents succeeding on Day 1 and reappearing on Day 2 — removed from the Day 2 result set by the carry-over rule</w:t>
      </w:r>
    </w:p>
    <w:p>
      <w:pPr>
        <w:pStyle w:val="ListParagraph"/>
        <w:numPr>
          <w:ilvl w:val="0"/>
          <w:numId w:val="1"/>
        </w:numPr>
        <w:spacing w:after="80"/>
      </w:pPr>
      <w:r>
        <w:t xml:space="preserve">Tickets closed in 15 minutes or less — excluded from the successful-resolution count by the quality threshold filter</w:t>
      </w:r>
    </w:p>
    <w:p>
      <w:pPr>
        <w:spacing w:after="160"/>
      </w:pPr>
      <w:r>
        <w:t xml:space="preserve">A validation step at the end of the Gold notebook re-reads each Bronze and Silver table and prints record counts, giving a lightweight sanity check that the expected volume of records is being dropped at each stage rather than lost silently.</w:t>
      </w:r>
    </w:p>
    <w:p>
      <w:pPr>
        <w:pStyle w:val="Heading1"/>
        <w:spacing w:after="160" w:before="360"/>
      </w:pPr>
      <w:r>
        <w:t xml:space="preserve">10. Deliverables</w:t>
      </w:r>
    </w:p>
    <w:p>
      <w:pPr>
        <w:pStyle w:val="ListParagraph"/>
        <w:numPr>
          <w:ilvl w:val="0"/>
          <w:numId w:val="1"/>
        </w:numPr>
        <w:spacing w:after="80"/>
      </w:pPr>
      <w:r>
        <w:t xml:space="preserve">Four Databricks notebooks: Config, Bronze, Silver, Gold</w:t>
      </w:r>
    </w:p>
    <w:p>
      <w:pPr>
        <w:pStyle w:val="ListParagraph"/>
        <w:numPr>
          <w:ilvl w:val="0"/>
          <w:numId w:val="1"/>
        </w:numPr>
        <w:spacing w:after="80"/>
      </w:pPr>
      <w:r>
        <w:t xml:space="preserve">Databricks Job ("Customer_Support_Ticket_Resolution_Pipeline") wiring the four notebooks together with explicit task dependencies</w:t>
      </w:r>
    </w:p>
    <w:p>
      <w:pPr>
        <w:pStyle w:val="ListParagraph"/>
        <w:numPr>
          <w:ilvl w:val="0"/>
          <w:numId w:val="1"/>
        </w:numPr>
        <w:spacing w:after="80"/>
      </w:pPr>
      <w:r>
        <w:t xml:space="preserve">Nine Delta tables spanning Bronze (3), Silver (2), and Gold (4) layers</w:t>
      </w:r>
    </w:p>
    <w:p>
      <w:pPr>
        <w:pStyle w:val="ListParagraph"/>
        <w:numPr>
          <w:ilvl w:val="0"/>
          <w:numId w:val="1"/>
        </w:numPr>
        <w:spacing w:after="80"/>
      </w:pPr>
      <w:r>
        <w:t xml:space="preserve">Exported CSV snapshots of Silver and Gold outputs for offline review</w:t>
      </w:r>
    </w:p>
    <w:p>
      <w:pPr>
        <w:pStyle w:val="ListParagraph"/>
        <w:numPr>
          <w:ilvl w:val="0"/>
          <w:numId w:val="1"/>
        </w:numPr>
        <w:spacing w:after="80"/>
      </w:pPr>
      <w:r>
        <w:t xml:space="preserve">This documentation</w:t>
      </w:r>
    </w:p>
    <w:p>
      <w:pPr>
        <w:pStyle w:val="Heading1"/>
        <w:spacing w:after="160" w:before="360"/>
      </w:pPr>
      <w:r>
        <w:t xml:space="preserve">11. Conclusion</w:t>
      </w:r>
    </w:p>
    <w:p>
      <w:pPr>
        <w:spacing w:after="160"/>
      </w:pPr>
      <w:r>
        <w:t xml:space="preserve">This pipeline satisfies the leadership questions defined in the problem statement by ingesting raw ticket data from cloud storage, applying validated business rules for resolution quality, team scope, and Day-2 carry-over, and producing clean, aggregated Gold-layer tables ready for dashboarding. The medallion architecture and Job-based orchestration make the pipeline auditable, reproducible, and easy to re-run against new data.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2026-07-21T07:45:11.036Z</dcterms:created>
  <dcterms:modified xsi:type="dcterms:W3CDTF">2026-07-21T07:45:11.037Z</dcterms:modified>
</cp:coreProperties>
</file>

<file path=docProps/custom.xml><?xml version="1.0" encoding="utf-8"?>
<Properties xmlns="http://schemas.openxmlformats.org/officeDocument/2006/custom-properties" xmlns:vt="http://schemas.openxmlformats.org/officeDocument/2006/docPropsVTypes"/>
</file>