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Miller</w:t>
      </w:r>
    </w:p>
    <w:p>
      <w:pPr>
        <w:jc w:val="center"/>
      </w:pPr>
      <w:r>
        <w:t>isabella.miller@gmail.com | +1-944-352-1530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2018-11-01 to 2020-09-01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Executive Director - Strategic Solutions International</w:t>
      </w:r>
    </w:p>
    <w:p>
      <w:r>
        <w:t>2019-05-01 to 2024-01-01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Chief Innovation Officer - Apple</w:t>
      </w:r>
    </w:p>
    <w:p>
      <w:r>
        <w:t>2023-04-01 to Present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(2014-08-01 - 2018-05-01)</w:t>
      </w:r>
    </w:p>
    <w:p>
      <w:r>
        <w:t>GPA: 3.48</w:t>
      </w:r>
    </w:p>
    <w:p>
      <w:pPr>
        <w:pStyle w:val="Heading2"/>
      </w:pPr>
      <w:r>
        <w:t>Master of Engineering</w:t>
      </w:r>
    </w:p>
    <w:p>
      <w:r>
        <w:t>International Business School (2020-08-01 - 2022-05-01)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Django, Vue.js, SQL, Redis, Kubernetes, Scrum,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