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barbara.davis@gmail.com | +1-657-460-7276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2018-06-01 to 2018-09-01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Premier Consulting Group</w:t>
      </w:r>
    </w:p>
    <w:p>
      <w:r>
        <w:t>2018-01-01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Strategic Solutions International</w:t>
      </w:r>
    </w:p>
    <w:p>
      <w:r>
        <w:t>2018-10-01 to 2020-09-01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Executive Director - Global Tech Solutions Inc</w:t>
      </w:r>
    </w:p>
    <w:p>
      <w:r>
        <w:t>2020-08-01 to 2021-07-01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(2014-08-01 - 2018-05-01)</w:t>
      </w:r>
    </w:p>
    <w:p>
      <w:r>
        <w:t>GPA: 3.95</w:t>
      </w:r>
    </w:p>
    <w:p>
      <w:pPr>
        <w:pStyle w:val="Heading2"/>
      </w:pPr>
      <w:r>
        <w:t>Master of Technology</w:t>
      </w:r>
    </w:p>
    <w:p>
      <w:r>
        <w:t>American International University (2017-08-01 - 2022-05-01)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TypeScript, Spring Boot, Django, React, PostgreSQL, Azure, AWS, Google Cloud, Scrum, Expert in 15+ Programming Languages, Master of All Cloud Platforms, Advanced AI/ML Guru, Blockchain Expert, Quantum Computing Specialist, PyTorch,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