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Anderson</w:t>
      </w:r>
    </w:p>
    <w:p>
      <w:pPr>
        <w:jc w:val="center"/>
      </w:pPr>
      <w:r>
        <w:t>isabella.anderson@gmail.com | +1-616-644-5060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JPMorgan Chase</w:t>
      </w:r>
    </w:p>
    <w:p>
      <w:r>
        <w:t>2011-08-01 to 2012-05-01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Intel</w:t>
      </w:r>
    </w:p>
    <w:p>
      <w:r>
        <w:t>2012-10-01 to 2014-04-01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Global Head of Technology - Goldman Sachs</w:t>
      </w:r>
    </w:p>
    <w:p>
      <w:r>
        <w:t>2014-05-01 to 2016-08-01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Oracle</w:t>
      </w:r>
    </w:p>
    <w:p>
      <w:r>
        <w:t>2016-02-01 to 2020-12-01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World-leading established best practices and coding standards</w:t>
      </w:r>
    </w:p>
    <w:p>
      <w:pPr>
        <w:pStyle w:val="Heading2"/>
      </w:pPr>
      <w:r>
        <w:t>Global Head of Technology - IBM</w:t>
      </w:r>
    </w:p>
    <w:p>
      <w:r>
        <w:t>2020-02-01 to 2021-02-01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(2007-08-01 - 2011-05-01)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Go, C++, JavaScript, Flask, Django, PostgreSQL, SQL, Google Cloud, Kubernetes, Azure,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