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Garcia</w:t>
      </w:r>
    </w:p>
    <w:p>
      <w:pPr>
        <w:jc w:val="center"/>
      </w:pPr>
      <w:r>
        <w:t>richard.garcia@email.com | +1-501-452-2462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Goldman Sachs</w:t>
      </w:r>
    </w:p>
    <w:p>
      <w:r>
        <w:t>2011-09-01 to 2013-08-01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Elite Technologies Ltd</w:t>
      </w:r>
    </w:p>
    <w:p>
      <w:r>
        <w:t>2013-03-01 to 2016-07-01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Executive Director - Premier Consulting Group</w:t>
      </w:r>
    </w:p>
    <w:p>
      <w:r>
        <w:t>2015-02-01 to 2017-01-01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Premier Consulting Group</w:t>
      </w:r>
    </w:p>
    <w:p>
      <w:r>
        <w:t>2017-02-01 to 2021-03-01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PWC</w:t>
      </w:r>
    </w:p>
    <w:p>
      <w:r>
        <w:t>2021-04-01 to 2025-08-01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(2007-08-01 - 2011-05-01)</w:t>
      </w:r>
    </w:p>
    <w:p>
      <w:r>
        <w:t>GPA: 3.25</w:t>
      </w:r>
    </w:p>
    <w:p>
      <w:pPr>
        <w:pStyle w:val="Heading2"/>
      </w:pPr>
      <w:r>
        <w:t>Master of Business Administration</w:t>
      </w:r>
    </w:p>
    <w:p>
      <w:r>
        <w:t>Elite Management Institute (2010-08-01 - 2014-05-01)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C++, Python, Rust, Flask, MongoDB, SQL, Kubernetes, AWS, Azure,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