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Smith</w:t>
      </w:r>
    </w:p>
    <w:p>
      <w:pPr>
        <w:jc w:val="center"/>
      </w:pPr>
      <w:r>
        <w:t>david.smith@email.com | +1-559-616-6340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Premier Consulting Group</w:t>
      </w:r>
    </w:p>
    <w:p>
      <w:r>
        <w:t>2019-08-01 to 2021-01-01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Executive Director - Adobe</w:t>
      </w:r>
    </w:p>
    <w:p>
      <w:r>
        <w:t>2021-12-01 to 2022-11-01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Principal Architect and VP - Elite Technologies Ltd</w:t>
      </w:r>
    </w:p>
    <w:p>
      <w:r>
        <w:t>2022-12-01 to 2024-04-01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Transformed 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Yale University (2015-08-01 - 2019-05-01)</w:t>
      </w:r>
    </w:p>
    <w:p>
      <w:r>
        <w:t>GPA: 3.41</w:t>
      </w:r>
    </w:p>
    <w:p>
      <w:pPr>
        <w:pStyle w:val="Heading1"/>
      </w:pPr>
      <w:r>
        <w:t>SKILLS</w:t>
      </w:r>
    </w:p>
    <w:p>
      <w:r>
        <w:t>Rust, Go, Node.js, Flask, Redis, Elasticsearch, SQL, Google Cloud, Docker, AWS, Git, CI/CD, Jenkins,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CISSP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