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Martinez</w:t>
      </w:r>
    </w:p>
    <w:p>
      <w:pPr>
        <w:jc w:val="center"/>
      </w:pPr>
      <w:r>
        <w:t>susan.martinez@email.com | +1-806-982-5884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NextGen Enterprises</w:t>
      </w:r>
    </w:p>
    <w:p>
      <w:r>
        <w:t>2016-10-01 to 2019-11-01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Accenture</w:t>
      </w:r>
    </w:p>
    <w:p>
      <w:r>
        <w:t>2019-11-01 to 2021-04-01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Worldwide Innovations</w:t>
      </w:r>
    </w:p>
    <w:p>
      <w:r>
        <w:t>2020-10-01 to 2021-05-01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VP Engineering - International Business Partners</w:t>
      </w:r>
    </w:p>
    <w:p>
      <w:r>
        <w:t>2021-10-01 to 2024-10-01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drove technical strategy and innovation</w:t>
      </w:r>
    </w:p>
    <w:p>
      <w:pPr>
        <w:pStyle w:val="Heading2"/>
      </w:pPr>
      <w:r>
        <w:t>Principal Engineer - Strategic Solutions International</w:t>
      </w:r>
    </w:p>
    <w:p>
      <w:r>
        <w:t>2023-06-01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(2012-08-01 - 2016-05-01)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TypeScript, Java, Spring Boot, Redis, Azure, AWS,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