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Thomas</w:t>
      </w:r>
    </w:p>
    <w:p>
      <w:pPr>
        <w:jc w:val="center"/>
      </w:pPr>
      <w:r>
        <w:t>emily.thomas@gmail.com | +1-719-954-9269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Goldman Sachs</w:t>
      </w:r>
    </w:p>
    <w:p>
      <w:r>
        <w:t>2013-06-01 to 2013-02-01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International Business Partners</w:t>
      </w:r>
    </w:p>
    <w:p>
      <w:r>
        <w:t>2013-11-01 to 2016-03-01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Salesforce</w:t>
      </w:r>
    </w:p>
    <w:p>
      <w:r>
        <w:t>2016-04-01 to 2018-04-01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International Business Partners</w:t>
      </w:r>
    </w:p>
    <w:p>
      <w:r>
        <w:t>2017-06-01 to 2020-10-01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Strategic Solutions International</w:t>
      </w:r>
    </w:p>
    <w:p>
      <w:r>
        <w:t>2019-08-01 to 2020-05-01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(2009-08-01 - 2013-05-01)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C++, Java, Angular, Spring Boot, Flask, PostgreSQL, AWS, Kubernetes,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