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Garcia</w:t>
      </w:r>
    </w:p>
    <w:p>
      <w:pPr>
        <w:jc w:val="center"/>
      </w:pPr>
      <w:r>
        <w:t>mary.garcia@gmail.com | +1-389-278-8986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Advanced Systems Corp</w:t>
      </w:r>
    </w:p>
    <w:p>
      <w:r>
        <w:t>2012-03-01 to 2012-04-01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Associate Consultant - International Business Partners</w:t>
      </w:r>
    </w:p>
    <w:p>
      <w:r>
        <w:t>2012-03-01 to 2013-08-01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Chief Innovation Officer - Oracle</w:t>
      </w:r>
    </w:p>
    <w:p>
      <w:r>
        <w:t>2013-05-01 to 2016-04-01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Senior Software Engineer - International Business Partners</w:t>
      </w:r>
    </w:p>
    <w:p>
      <w:r>
        <w:t>2016-04-01 to 2018-07-01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Executive Director - Tesla</w:t>
      </w:r>
    </w:p>
    <w:p>
      <w:r>
        <w:t>2018-03-01 to 2020-05-01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Trinity Southern University (2008-08-01 - 2012-05-01)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Rust, C++, TypeScript, Angular, Vue.js, Redis, MongoDB, Elasticsearch, Google Cloud, Azure, Agile,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