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Rodriguez</w:t>
      </w:r>
    </w:p>
    <w:p>
      <w:pPr>
        <w:jc w:val="center"/>
      </w:pPr>
      <w:r>
        <w:t>elizabeth.rodriguez@email.com | +1-625-236-4996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JPMorgan Chase</w:t>
      </w:r>
    </w:p>
    <w:p>
      <w:r>
        <w:t>2020-01-01 to 2021-04-01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Strategic Solutions International</w:t>
      </w:r>
    </w:p>
    <w:p>
      <w:r>
        <w:t>2020-10-01 to 2024-11-01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Executive Director - Accenture</w:t>
      </w:r>
    </w:p>
    <w:p>
      <w:r>
        <w:t>2024-05-01 to 2024-04-01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(2016-08-01 - 2020-05-01)</w:t>
      </w:r>
    </w:p>
    <w:p>
      <w:r>
        <w:t>GPA: 3.72</w:t>
      </w:r>
    </w:p>
    <w:p>
      <w:pPr>
        <w:pStyle w:val="Heading2"/>
      </w:pPr>
      <w:r>
        <w:t>Master of Business Administration</w:t>
      </w:r>
    </w:p>
    <w:p>
      <w:r>
        <w:t>Elite Management Institute (2019-08-01 - 2024-05-01)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TypeScript, JavaScript, React, Redis, Elasticsearch, Docker, Azure, Kubernetes, Scrum,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