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jennifer.hernandez@email.com | +1-766-647-3659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2015-01-01 to 2018-10-01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Google</w:t>
      </w:r>
    </w:p>
    <w:p>
      <w:r>
        <w:t>2017-09-01 to 2018-02-01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International Business Partners</w:t>
      </w:r>
    </w:p>
    <w:p>
      <w:r>
        <w:t>2018-11-01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Principal Architect and VP - Worldwide Innovations</w:t>
      </w:r>
    </w:p>
    <w:p>
      <w:r>
        <w:t>2019-07-01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Principal Engineer - Elite Technologies Ltd</w:t>
      </w:r>
    </w:p>
    <w:p>
      <w:r>
        <w:t>2020-01-01 to 2022-05-01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(2011-08-01 - 2015-05-01)</w:t>
      </w:r>
    </w:p>
    <w:p>
      <w:r>
        <w:t>GPA: 3.87</w:t>
      </w:r>
    </w:p>
    <w:p>
      <w:pPr>
        <w:pStyle w:val="Heading2"/>
      </w:pPr>
      <w:r>
        <w:t>Master of Business Administration</w:t>
      </w:r>
    </w:p>
    <w:p>
      <w:r>
        <w:t>Carnegie Mellon University (2017-08-01 - 2019-05-01)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JavaScript, Spring Boot, Redis, Elasticsearch, SQL, Docker, Kubernetes, Azure, Git, Agile, Expert in 15+ Programming Languages, Master of All Cloud Platforms, Advanced AI/ML Guru, Blockchain Expert, Quantum Computing Specialist,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