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mia.taylor@gmail.com | +1-364-475-6297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2015-01-01 to 2015-12-01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Principal Architect and VP - Elite Technologies Ltd</w:t>
      </w:r>
    </w:p>
    <w:p>
      <w:r>
        <w:t>2014-07-01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Salesforce</w:t>
      </w:r>
    </w:p>
    <w:p>
      <w:r>
        <w:t>2017-04-01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Global Head of Technology - Adobe</w:t>
      </w:r>
    </w:p>
    <w:p>
      <w:r>
        <w:t>2018-10-01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Elite Technologies Ltd</w:t>
      </w:r>
    </w:p>
    <w:p>
      <w:r>
        <w:t>2021-08-01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(2011-08-01 - 2015-05-01)</w:t>
      </w:r>
    </w:p>
    <w:p>
      <w:r>
        <w:t>GPA: 3.56</w:t>
      </w:r>
    </w:p>
    <w:p>
      <w:pPr>
        <w:pStyle w:val="Heading2"/>
      </w:pPr>
      <w:r>
        <w:t>Master of Engineering</w:t>
      </w:r>
    </w:p>
    <w:p>
      <w:r>
        <w:t>Carnegie Mellon University (2017-08-01 - 2019-05-01)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Go, C++, Flask, Spring Boot, Django, Elasticsearch, AWS, Docker, Git, Scrum, Expert in 15+ Programming Languages, Master of All Cloud Platforms, Advanced AI/ML Guru, Blockchain Expert, Quantum Computing Specialist,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