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Moore</w:t>
      </w:r>
    </w:p>
    <w:p>
      <w:pPr>
        <w:jc w:val="center"/>
      </w:pPr>
      <w:r>
        <w:t>jennifer.moore@email.com | +1-250-845-3766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International Business Partners</w:t>
      </w:r>
    </w:p>
    <w:p>
      <w:r>
        <w:t>2012-06-01 to 2016-01-01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Principal Architect and VP - Goldman Sachs</w:t>
      </w:r>
    </w:p>
    <w:p>
      <w:r>
        <w:t>2016-01-01 to 2017-04-01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Accenture</w:t>
      </w:r>
    </w:p>
    <w:p>
      <w:r>
        <w:t>2016-02-01 to 2020-10-01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Strategic Solutions International</w:t>
      </w:r>
    </w:p>
    <w:p>
      <w:r>
        <w:t>2020-06-01 to 2023-02-01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Transformed established best practices and coding standards</w:t>
      </w:r>
    </w:p>
    <w:p>
      <w:pPr>
        <w:pStyle w:val="ListBullet"/>
      </w:pPr>
      <w:r>
        <w:t>Revolutionized established best practices and coding standards</w:t>
      </w:r>
    </w:p>
    <w:p>
      <w:pPr>
        <w:pStyle w:val="Heading2"/>
      </w:pPr>
      <w:r>
        <w:t>Executive Director - Meta</w:t>
      </w:r>
    </w:p>
    <w:p>
      <w:r>
        <w:t>2022-10-01 to 2024-12-01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Revolutionized 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Cornell University (2008-08-01 - 2012-05-01)</w:t>
      </w:r>
    </w:p>
    <w:p>
      <w:r>
        <w:t>GPA: 3.32</w:t>
      </w:r>
    </w:p>
    <w:p>
      <w:pPr>
        <w:pStyle w:val="Heading2"/>
      </w:pPr>
      <w:r>
        <w:t>Master of Technology</w:t>
      </w:r>
    </w:p>
    <w:p>
      <w:r>
        <w:t>Georgia Tech (2013-08-01 - 2015-05-01)</w:t>
      </w:r>
    </w:p>
    <w:p>
      <w:r>
        <w:t>GPA: 3.51</w:t>
      </w:r>
    </w:p>
    <w:p>
      <w:pPr>
        <w:pStyle w:val="Heading1"/>
      </w:pPr>
      <w:r>
        <w:t>SKILLS</w:t>
      </w:r>
    </w:p>
    <w:p>
      <w:r>
        <w:t>TypeScript, Spring Boot, React, Elasticsearch, SQL, MongoDB, Google Cloud, Kubernetes, Docker, Agile,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