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Taylor</w:t>
      </w:r>
    </w:p>
    <w:p>
      <w:pPr>
        <w:jc w:val="center"/>
      </w:pPr>
      <w:r>
        <w:t>richard.taylor@gmail.com | +1-991-453-8879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Strategic Solutions International</w:t>
      </w:r>
    </w:p>
    <w:p>
      <w:r>
        <w:t>2019-11-01 to 2019-06-01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International Business Partners</w:t>
      </w:r>
    </w:p>
    <w:p>
      <w:r>
        <w:t>2019-11-01 to 2022-10-01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Worldwide Innovations</w:t>
      </w:r>
    </w:p>
    <w:p>
      <w:r>
        <w:t>2022-09-01 to 2024-09-01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Elite Management Institute (2015-08-01 - 2019-05-01)</w:t>
      </w:r>
    </w:p>
    <w:p>
      <w:r>
        <w:t>GPA: 3.34</w:t>
      </w:r>
    </w:p>
    <w:p>
      <w:pPr>
        <w:pStyle w:val="Heading1"/>
      </w:pPr>
      <w:r>
        <w:t>SKILLS</w:t>
      </w:r>
    </w:p>
    <w:p>
      <w:r>
        <w:t>JavaScript, Python, C++, Flask, Spring Boot, Vue.js, MongoDB, SQL, Redis, Kubernetes, AWS, Docker,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