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t>richard.taylor@gmail.com | +1-669-668-3893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2015-06-01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Apple</w:t>
      </w:r>
    </w:p>
    <w:p>
      <w:r>
        <w:t>2018-11-01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Consultant - Strategic Solutions International</w:t>
      </w:r>
    </w:p>
    <w:p>
      <w:r>
        <w:t>2019-10-01 to 2021-09-01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Salesforce</w:t>
      </w:r>
    </w:p>
    <w:p>
      <w:r>
        <w:t>2021-12-01 to 2022-01-01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2"/>
      </w:pPr>
      <w:r>
        <w:t>Chief Innovation Officer - Goldman Sachs</w:t>
      </w:r>
    </w:p>
    <w:p>
      <w:r>
        <w:t>2022-08-01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(2011-08-01 - 2015-05-01)</w:t>
      </w:r>
    </w:p>
    <w:p>
      <w:r>
        <w:t>GPA: 3.32</w:t>
      </w:r>
    </w:p>
    <w:p>
      <w:pPr>
        <w:pStyle w:val="Heading2"/>
      </w:pPr>
      <w:r>
        <w:t>Master of Technology</w:t>
      </w:r>
    </w:p>
    <w:p>
      <w:r>
        <w:t>Trinity Southern University (2014-08-01 - 2017-05-01)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Java, TypeScript, Vue.js, Redis, Docker, Kubernetes,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