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Anderson</w:t>
      </w:r>
    </w:p>
    <w:p>
      <w:pPr>
        <w:jc w:val="center"/>
      </w:pPr>
      <w:r>
        <w:t>olivia.anderson@gmail.com | +1-839-606-9529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Strategic Solutions International</w:t>
      </w:r>
    </w:p>
    <w:p>
      <w:r>
        <w:t>2020-01-01 to 2021-08-01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Software Engineer - IBM</w:t>
      </w:r>
    </w:p>
    <w:p>
      <w:r>
        <w:t>2020-04-01 to 2021-10-01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Oracle</w:t>
      </w:r>
    </w:p>
    <w:p>
      <w:r>
        <w:t>2021-05-01 to 2024-10-01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(2016-08-01 - 2020-05-01)</w:t>
      </w:r>
    </w:p>
    <w:p>
      <w:r>
        <w:t>GPA: 3.88</w:t>
      </w:r>
    </w:p>
    <w:p>
      <w:pPr>
        <w:pStyle w:val="Heading2"/>
      </w:pPr>
      <w:r>
        <w:t>Master of Business Administration</w:t>
      </w:r>
    </w:p>
    <w:p>
      <w:r>
        <w:t>Trinity Southern University (2019-08-01 - 2023-05-01)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TypeScript, Go, Rust, Node.js, Vue.js, Elasticsearch, PostgreSQL, Redis, Kubernetes, AWS, Azure, Git,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