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Brown</w:t>
      </w:r>
    </w:p>
    <w:p>
      <w:pPr>
        <w:jc w:val="center"/>
      </w:pPr>
      <w:r>
        <w:t>mia.brown@gmail.com | +1-227-562-3808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2021-04-01 to 2024-02-01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VP and Chief Strategist - Goldman Sachs</w:t>
      </w:r>
    </w:p>
    <w:p>
      <w:r>
        <w:t>2024-04-01 to 2025-01-01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(2017-08-01 - 2021-05-01)</w:t>
      </w:r>
    </w:p>
    <w:p>
      <w:r>
        <w:t>GPA: 3.99</w:t>
      </w:r>
    </w:p>
    <w:p>
      <w:pPr>
        <w:pStyle w:val="Heading2"/>
      </w:pPr>
      <w:r>
        <w:t>Master of Engineering</w:t>
      </w:r>
    </w:p>
    <w:p>
      <w:r>
        <w:t>Global Tech Institute (2020-08-01 - 2023-05-01)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Java, JavaScript, Rust, Flask, SQL, PostgreSQL, Docker, Git, Agile, CI/CD,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