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+1-285-755-8135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2014-05-01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2017-03-01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VP Engineering - Strategic Solutions International</w:t>
      </w:r>
    </w:p>
    <w:p>
      <w:r>
        <w:t>2019-04-01 to 2022-01-01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Global Head of Technology - Elite Technologies Ltd</w:t>
      </w:r>
    </w:p>
    <w:p>
      <w:r>
        <w:t>2022-10-01 to 2023-06-01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Senior VP and Chief Strategist - Goldman Sachs</w:t>
      </w:r>
    </w:p>
    <w:p>
      <w:r>
        <w:t>2023-11-01 to Present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3.43</w:t>
      </w:r>
    </w:p>
    <w:p>
      <w:pPr>
        <w:pStyle w:val="Heading2"/>
      </w:pPr>
      <w:r>
        <w:t>Master of Business Administration</w:t>
      </w:r>
    </w:p>
    <w:p>
      <w:r>
        <w:t>University of Texas at Austin (2013-08-01 - 2016-05-01)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Python, Django, Redis, SQL, Elasticsearch,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