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Garcia</w:t>
      </w:r>
    </w:p>
    <w:p>
      <w:pPr>
        <w:jc w:val="center"/>
      </w:pPr>
      <w:r>
        <w:t>richard.garcia@gmail.com | +1-587-224-3600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Advanced Systems Corp</w:t>
      </w:r>
    </w:p>
    <w:p>
      <w:r>
        <w:t>2012-05-01 to 2012-07-01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Advanced Systems Corp</w:t>
      </w:r>
    </w:p>
    <w:p>
      <w:r>
        <w:t>2011-05-01 to 2016-07-01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Strategic Solutions International</w:t>
      </w:r>
    </w:p>
    <w:p>
      <w:r>
        <w:t>2016-10-01 to 2019-07-01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Microsoft</w:t>
      </w:r>
    </w:p>
    <w:p>
      <w:r>
        <w:t>2019-10-01 to 2021-08-01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JPMorgan Chase</w:t>
      </w:r>
    </w:p>
    <w:p>
      <w:r>
        <w:t>2021-12-01 to 2023-11-01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(2008-08-01 - 2012-05-01)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Go, Rust, Spring Boot, Node.js, Django, MongoDB, Redis, Azure, Google Cloud,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