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Rodriguez</w:t>
      </w:r>
    </w:p>
    <w:p>
      <w:pPr>
        <w:jc w:val="center"/>
      </w:pPr>
      <w:r>
        <w:t>susan.rodriguez@email.com | +1-736-572-3334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2020-02-01 to 2020-03-01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Principal Architect and VP - International Business Partners</w:t>
      </w:r>
    </w:p>
    <w:p>
      <w:r>
        <w:t>2020-07-01 to 2021-03-01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Cisco</w:t>
      </w:r>
    </w:p>
    <w:p>
      <w:r>
        <w:t>2021-02-01 to 2025-11-01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(2016-08-01 - 2020-05-01)</w:t>
      </w:r>
    </w:p>
    <w:p>
      <w:r>
        <w:t>GPA: 3.89</w:t>
      </w:r>
    </w:p>
    <w:p>
      <w:pPr>
        <w:pStyle w:val="Heading2"/>
      </w:pPr>
      <w:r>
        <w:t>Master of Technology</w:t>
      </w:r>
    </w:p>
    <w:p>
      <w:r>
        <w:t>University of Michigan (2019-08-01 - 2022-05-01)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Python, Django, Elasticsearch, SQL, MongoDB, Azure, Google Cloud,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