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Garcia</w:t>
      </w:r>
    </w:p>
    <w:p>
      <w:pPr>
        <w:jc w:val="center"/>
      </w:pPr>
      <w:r>
        <w:t>emma.garcia@gmail.com | +1-477-809-5190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Global Tech Solutions Inc</w:t>
      </w:r>
    </w:p>
    <w:p>
      <w:r>
        <w:t>2020-04-01 to 2022-07-01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NextGen Enterprises</w:t>
      </w:r>
    </w:p>
    <w:p>
      <w:r>
        <w:t>2021-04-01 to 2023-12-01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International Business Partners</w:t>
      </w:r>
    </w:p>
    <w:p>
      <w:r>
        <w:t>2023-12-01 to 2025-07-01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Trinity Southern University (2016-08-01 - 2020-05-01)</w:t>
      </w:r>
    </w:p>
    <w:p>
      <w:r>
        <w:t>GPA: 3.8</w:t>
      </w:r>
    </w:p>
    <w:p>
      <w:pPr>
        <w:pStyle w:val="Heading2"/>
      </w:pPr>
      <w:r>
        <w:t>Master of Science in Computer Science</w:t>
      </w:r>
    </w:p>
    <w:p>
      <w:r>
        <w:t>Pacific Western University (2021-08-01 - 2023-05-01)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Go, JavaScript, Java, Node.js, Flask, PostgreSQL, Google Cloud, AWS, Azure,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