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john.white@email.com | +1-272-526-6584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2014-07-01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International Business Partners</w:t>
      </w:r>
    </w:p>
    <w:p>
      <w:r>
        <w:t>2016-03-01 to 2019-12-01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NextGen Enterprises</w:t>
      </w:r>
    </w:p>
    <w:p>
      <w:r>
        <w:t>2018-12-01 to 2023-04-01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VP and Chief Strategist - Accenture</w:t>
      </w:r>
    </w:p>
    <w:p>
      <w:r>
        <w:t>2022-08-01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Chief Architect - Advanced Systems Corp</w:t>
      </w:r>
    </w:p>
    <w:p>
      <w:r>
        <w:t>2024-07-01 to Present</w:t>
      </w:r>
    </w:p>
    <w:p>
      <w:pPr>
        <w:pStyle w:val="ListBullet"/>
      </w:pPr>
      <w:r>
        <w:t>Best-in-class managed engineering organization of 100+ people</w:t>
      </w:r>
    </w:p>
    <w:p>
      <w:pPr>
        <w:pStyle w:val="ListBullet"/>
      </w:pPr>
      <w:r>
        <w:t>Groundbreaking 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Transformed 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(2010-08-01 - 2014-05-01)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Rust, Java, Flask, Redis, Kubernetes, Docker,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