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Taylor</w:t>
      </w:r>
    </w:p>
    <w:p>
      <w:pPr>
        <w:jc w:val="center"/>
      </w:pPr>
      <w:r>
        <w:t>emily.taylor@gmail.com | +1-769-543-3057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Worldwide Innovations</w:t>
      </w:r>
    </w:p>
    <w:p>
      <w:r>
        <w:t>2016-09-01 to 2019-09-01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Executive Director - PWC</w:t>
      </w:r>
    </w:p>
    <w:p>
      <w:r>
        <w:t>2018-12-01 to 2020-07-01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NextGen Enterprises</w:t>
      </w:r>
    </w:p>
    <w:p>
      <w:r>
        <w:t>2020-03-01 to 2021-04-01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Oracle</w:t>
      </w:r>
    </w:p>
    <w:p>
      <w:r>
        <w:t>2021-01-01 to 2022-12-01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Revolutionized established best practices and coding standards</w:t>
      </w:r>
    </w:p>
    <w:p>
      <w:pPr>
        <w:pStyle w:val="Heading2"/>
      </w:pPr>
      <w:r>
        <w:t>Principal Architect and VP - International Business Partners</w:t>
      </w:r>
    </w:p>
    <w:p>
      <w:r>
        <w:t>2022-04-01 to 2024-04-01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(2012-08-01 - 2016-05-01)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C++, Python, Node.js, SQL, Kubernetes, Agile,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