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Garcia</w:t>
      </w:r>
    </w:p>
    <w:p>
      <w:pPr>
        <w:jc w:val="center"/>
      </w:pPr>
      <w:r>
        <w:t>sarah.garcia@gmail.com | +1-996-303-6075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Goldman Sachs</w:t>
      </w:r>
    </w:p>
    <w:p>
      <w:r>
        <w:t>2016-02-01 to 2019-07-01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Oracle</w:t>
      </w:r>
    </w:p>
    <w:p>
      <w:r>
        <w:t>2019-04-01 to 2019-10-01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International Business Partners</w:t>
      </w:r>
    </w:p>
    <w:p>
      <w:r>
        <w:t>2019-06-01 to 2021-08-01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Senior VP and Chief Strategist - NextGen Enterprises</w:t>
      </w:r>
    </w:p>
    <w:p>
      <w:r>
        <w:t>2020-09-01 to 2022-05-01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Principal Architect and VP - Advanced Systems Corp</w:t>
      </w:r>
    </w:p>
    <w:p>
      <w:r>
        <w:t>2022-10-01 to 2022-12-01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Revolutionized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(2012-08-01 - 2016-05-01)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TypeScript, Rust, Java, React, Flask, Vue.js, MongoDB, Kubernetes, Azure,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