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+1-334-508-1647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2011-05-01 to 2011-05-01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Chief Innovation Officer - Strategic Solutions International</w:t>
      </w:r>
    </w:p>
    <w:p>
      <w:r>
        <w:t>2011-09-01 to 2013-04-01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Elite Technologies Ltd</w:t>
      </w:r>
    </w:p>
    <w:p>
      <w:r>
        <w:t>2013-09-01 to 2017-06-01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Global Head of Technology - Tesla</w:t>
      </w:r>
    </w:p>
    <w:p>
      <w:r>
        <w:t>2017-03-01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Executive Director - Premier Consulting Group</w:t>
      </w:r>
    </w:p>
    <w:p>
      <w:r>
        <w:t>2020-08-01 to 2020-04-01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(2007-08-01 - 2011-05-01)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React, Vue.js, Node.js, MongoDB,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