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ava.rodriguez@gmail.com | +1-831-589-6632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2011-06-01 to 2014-08-01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Senior VP and Chief Strategist - Strategic Solutions International</w:t>
      </w:r>
    </w:p>
    <w:p>
      <w:r>
        <w:t>2014-04-01 to 2014-12-01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Goldman Sachs</w:t>
      </w:r>
    </w:p>
    <w:p>
      <w:r>
        <w:t>2014-02-01 to 2017-08-01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Executive Director - Strategic Solutions International</w:t>
      </w:r>
    </w:p>
    <w:p>
      <w:r>
        <w:t>2017-06-01 to 2017-01-01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Best-in-class established best practices and coding standards</w:t>
      </w:r>
    </w:p>
    <w:p>
      <w:pPr>
        <w:pStyle w:val="Heading2"/>
      </w:pPr>
      <w:r>
        <w:t>Senior Manager - NextGen Enterprises</w:t>
      </w:r>
    </w:p>
    <w:p>
      <w:r>
        <w:t>2017-01-01 to 2019-05-01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(2007-08-01 - 2011-05-01)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TypeScript, Go, Vue.js, Django, React, PostgreSQL, Kubernetes, AWS, Azure, Agile, Expert in 15+ Programming Languages, Master of All Cloud Platforms, Advanced AI/ML Guru, Blockchain Expert, Quantum Computing Specialist, Machine Learning,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