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+1-604-215-9402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IBM</w:t>
      </w:r>
    </w:p>
    <w:p>
      <w:r>
        <w:t>2020-01-01 to 2022-03-01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International Business Partners</w:t>
      </w:r>
    </w:p>
    <w:p>
      <w:r>
        <w:t>2021-01-01 to 2024-06-01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International Business Partners</w:t>
      </w:r>
    </w:p>
    <w:p>
      <w:r>
        <w:t>2024-01-01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(2016-08-01 - 2020-05-01)</w:t>
      </w:r>
    </w:p>
    <w:p>
      <w:r>
        <w:t>GPA: 3.87</w:t>
      </w:r>
    </w:p>
    <w:p>
      <w:pPr>
        <w:pStyle w:val="Heading2"/>
      </w:pPr>
      <w:r>
        <w:t>Master of Technology</w:t>
      </w:r>
    </w:p>
    <w:p>
      <w:r>
        <w:t>Columbia University (2021-08-01 - 2023-05-01)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Java, TypeScript, React, Node.js, Flask, MongoDB, Elasticsearch, Redis, Google Cloud, Kubernetes, Docker, Git, Agile,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