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Lee</w:t>
      </w:r>
    </w:p>
    <w:p>
      <w:pPr>
        <w:jc w:val="center"/>
      </w:pPr>
      <w:r>
        <w:t>barbara.lee@gmail.com | +1-369-903-1065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Strategic Solutions International</w:t>
      </w:r>
    </w:p>
    <w:p>
      <w:r>
        <w:t>2019-12-01 to 2021-04-01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Global Head of Technology - Global Tech Solutions Inc</w:t>
      </w:r>
    </w:p>
    <w:p>
      <w:r>
        <w:t>2020-02-01 to 2025-12-01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Goldman Sachs</w:t>
      </w:r>
    </w:p>
    <w:p>
      <w:r>
        <w:t>2025-02-01 to Present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(2015-08-01 - 2019-05-01)</w:t>
      </w:r>
    </w:p>
    <w:p>
      <w:r>
        <w:t>GPA: 3.9</w:t>
      </w:r>
    </w:p>
    <w:p>
      <w:pPr>
        <w:pStyle w:val="Heading2"/>
      </w:pPr>
      <w:r>
        <w:t>Master of Technology</w:t>
      </w:r>
    </w:p>
    <w:p>
      <w:r>
        <w:t>International Business School (2020-08-01 - 2022-05-01)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Rust, Python, TypeScript, React, Vue.js, SQL, MongoDB, PostgreSQL, Azure, AWS,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