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Garcia</w:t>
      </w:r>
    </w:p>
    <w:p>
      <w:pPr>
        <w:jc w:val="center"/>
      </w:pPr>
      <w:r>
        <w:t>elizabeth.garcia@gmail.com | +1-748-734-7620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Strategic Solutions International</w:t>
      </w:r>
    </w:p>
    <w:p>
      <w:r>
        <w:t>2019-08-01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Elite Technologies Ltd</w:t>
      </w:r>
    </w:p>
    <w:p>
      <w:r>
        <w:t>2020-08-01 to 2020-04-01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International Business Partners</w:t>
      </w:r>
    </w:p>
    <w:p>
      <w:r>
        <w:t>2019-03-01 to 2022-05-01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(2015-08-01 - 2019-05-01)</w:t>
      </w:r>
    </w:p>
    <w:p>
      <w:r>
        <w:t>GPA: 3.96</w:t>
      </w:r>
    </w:p>
    <w:p>
      <w:pPr>
        <w:pStyle w:val="Heading2"/>
      </w:pPr>
      <w:r>
        <w:t>Master of Science in Computer Science</w:t>
      </w:r>
    </w:p>
    <w:p>
      <w:r>
        <w:t>UC Berkeley (2021-08-01 - 2023-05-01)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Java, Vue.js, MongoDB, SQL, Elasticsearch, Kubernetes, Scrum, Git, Expert in 15+ Programming Languages, Master of All Cloud Platforms, Advanced AI/ML Guru, Blockchain Expert, Quantum Computing Specialist,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