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Lee</w:t>
      </w:r>
    </w:p>
    <w:p>
      <w:pPr>
        <w:jc w:val="center"/>
      </w:pPr>
      <w:r>
        <w:t>elizabeth.lee@email.com | +1-432-631-4642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Strategic Solutions International</w:t>
      </w:r>
    </w:p>
    <w:p>
      <w:r>
        <w:t>2021-02-01 to 2024-03-01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Premier Consulting Group</w:t>
      </w:r>
    </w:p>
    <w:p>
      <w:r>
        <w:t>2024-03-01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American International University (2017-08-01 - 2021-05-01)</w:t>
      </w:r>
    </w:p>
    <w:p>
      <w:r>
        <w:t>GPA: 3.86</w:t>
      </w:r>
    </w:p>
    <w:p>
      <w:pPr>
        <w:pStyle w:val="Heading2"/>
      </w:pPr>
      <w:r>
        <w:t>Master of Engineering</w:t>
      </w:r>
    </w:p>
    <w:p>
      <w:r>
        <w:t>Trinity Southern University (2020-08-01 - 2023-05-01)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JavaScript, Rust, React, Redis, Kubernetes, AWS, Jenkins, Git, CI/CD, Expert in 15+ Programming Languages, Master of All Cloud Platforms, Advanced AI/ML Guru, Blockchain Expert, Quantum Computing Specialist, Scikit-learn, TensorFlow,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