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william.martin@gmail.com | +1-618-349-1789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2011-02-01 to 2014-04-01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Worldwide Innovations</w:t>
      </w:r>
    </w:p>
    <w:p>
      <w:r>
        <w:t>2014-12-01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Chief Innovation Officer - Strategic Solutions International</w:t>
      </w:r>
    </w:p>
    <w:p>
      <w:r>
        <w:t>2016-02-01 to 2020-03-01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Senior Software Engineer - Salesforce</w:t>
      </w:r>
    </w:p>
    <w:p>
      <w:r>
        <w:t>2019-07-01 to 2022-01-01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Executive Director - Premier Consulting Group</w:t>
      </w:r>
    </w:p>
    <w:p>
      <w:r>
        <w:t>2021-08-01 to Present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(2007-08-01 - 2011-05-01)</w:t>
      </w:r>
    </w:p>
    <w:p>
      <w:r>
        <w:t>GPA: 3.83</w:t>
      </w:r>
    </w:p>
    <w:p>
      <w:pPr>
        <w:pStyle w:val="Heading2"/>
      </w:pPr>
      <w:r>
        <w:t>Master of Business Administration</w:t>
      </w:r>
    </w:p>
    <w:p>
      <w:r>
        <w:t>Pacific Western University (2011-08-01 - 2013-05-01)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React, Django, Redis, SQL, Azure, Google Cloud, Docker, Agile,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