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mary.thomas@gmail.com | +1-903-588-7169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Goldman Sachs</w:t>
      </w:r>
    </w:p>
    <w:p>
      <w:r>
        <w:t>2014-01-01 to 2017-03-01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Intel</w:t>
      </w:r>
    </w:p>
    <w:p>
      <w:r>
        <w:t>2016-01-01 to 2017-12-01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Strategic Solutions International</w:t>
      </w:r>
    </w:p>
    <w:p>
      <w:r>
        <w:t>2017-06-01 to 2019-04-01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Apple</w:t>
      </w:r>
    </w:p>
    <w:p>
      <w:r>
        <w:t>2018-12-01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Manager - Strategic Solutions International</w:t>
      </w:r>
    </w:p>
    <w:p>
      <w:r>
        <w:t>2023-11-01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(2010-08-01 - 2014-05-01)</w:t>
      </w:r>
    </w:p>
    <w:p>
      <w:r>
        <w:t>GPA: 3.93</w:t>
      </w:r>
    </w:p>
    <w:p>
      <w:pPr>
        <w:pStyle w:val="Heading2"/>
      </w:pPr>
      <w:r>
        <w:t>Master of Science in Computer Science</w:t>
      </w:r>
    </w:p>
    <w:p>
      <w:r>
        <w:t>Georgia Tech (2015-08-01 - 2017-05-01)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Node.js, Django, Redis, Google Cloud, AWS, Kubernetes, CI/CD,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