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Rodriguez</w:t>
      </w:r>
    </w:p>
    <w:p>
      <w:pPr>
        <w:jc w:val="center"/>
      </w:pPr>
      <w:r>
        <w:t>isabella.rodriguez@email.com | +1-786-526-6108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Strategic Solutions International</w:t>
      </w:r>
    </w:p>
    <w:p>
      <w:r>
        <w:t>2014-06-01 to 2015-11-01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NextGen Enterprises</w:t>
      </w:r>
    </w:p>
    <w:p>
      <w:r>
        <w:t>2015-12-01 to 2017-02-01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Senior Consultant - JPMorgan Chase</w:t>
      </w:r>
    </w:p>
    <w:p>
      <w:r>
        <w:t>2016-04-01 to 2020-08-01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Adobe</w:t>
      </w:r>
    </w:p>
    <w:p>
      <w:r>
        <w:t>2019-03-01 to 2021-05-01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drove technical strategy and innovation</w:t>
      </w:r>
    </w:p>
    <w:p>
      <w:pPr>
        <w:pStyle w:val="Heading2"/>
      </w:pPr>
      <w:r>
        <w:t>Senior Consultant - Tesla</w:t>
      </w:r>
    </w:p>
    <w:p>
      <w:r>
        <w:t>2021-02-01 to 2022-07-01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(2010-08-01 - 2014-05-01)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Rust, C++, Python, Django, Elasticsearch, Redis, Docker,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