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Johnson</w:t>
      </w:r>
    </w:p>
    <w:p>
      <w:pPr>
        <w:jc w:val="center"/>
      </w:pPr>
      <w:r>
        <w:t>emily.johnson@gmail.com | +1-590-468-6239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Worldwide Innovations</w:t>
      </w:r>
    </w:p>
    <w:p>
      <w:r>
        <w:t>2011-11-01 to 2013-10-01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Apple</w:t>
      </w:r>
    </w:p>
    <w:p>
      <w:r>
        <w:t>2013-02-01 to 2016-11-01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Chief Innovation Officer - International Business Partners</w:t>
      </w:r>
    </w:p>
    <w:p>
      <w:r>
        <w:t>2016-06-01 to 2018-07-01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International Business Partners</w:t>
      </w:r>
    </w:p>
    <w:p>
      <w:r>
        <w:t>2018-10-01 to 2020-04-01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Single-handedly established best practices and coding standards</w:t>
      </w:r>
    </w:p>
    <w:p>
      <w:pPr>
        <w:pStyle w:val="Heading2"/>
      </w:pPr>
      <w:r>
        <w:t>Senior Manager - Intel</w:t>
      </w:r>
    </w:p>
    <w:p>
      <w:r>
        <w:t>2020-06-01 to 2022-11-01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(2007-08-01 - 2011-05-01)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JavaScript, Vue.js, Flask, MongoDB, Azure, Docker, Google Cloud, CI/CD,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