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+1-250-405-7658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2014-10-01 to 2017-02-01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Manager - Global Tech Solutions Inc</w:t>
      </w:r>
    </w:p>
    <w:p>
      <w:r>
        <w:t>2017-08-01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Executive Director - Strategic Solutions International</w:t>
      </w:r>
    </w:p>
    <w:p>
      <w:r>
        <w:t>2020-02-01 to 2021-05-01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Global Head of Technology - Worldwide Innovations</w:t>
      </w:r>
    </w:p>
    <w:p>
      <w:r>
        <w:t>2021-06-01 to 2025-11-01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CTO - Global Tech Solutions Inc</w:t>
      </w:r>
    </w:p>
    <w:p>
      <w:r>
        <w:t>2025-04-01 to Present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Single-handedly built partnerships with major technology companies</w:t>
      </w:r>
    </w:p>
    <w:p>
      <w:pPr>
        <w:pStyle w:val="ListBullet"/>
      </w:pPr>
      <w:r>
        <w:t>Single-handedly built partnerships with major technology companies</w:t>
      </w:r>
    </w:p>
    <w:p>
      <w:pPr>
        <w:pStyle w:val="ListBullet"/>
      </w:pPr>
      <w:r>
        <w:t>Built partnerships with major technology companies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(2010-08-01 - 2014-05-01)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Go, Flask, Vue.js, Spring Boot, PostgreSQL, Elasticsearch, Redis, AWS,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