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+1-594-261-5568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2011-05-01 to 2013-05-01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Strategic Solutions International</w:t>
      </w:r>
    </w:p>
    <w:p>
      <w:r>
        <w:t>2012-03-01 to 2014-03-01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2014-07-01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Apple</w:t>
      </w:r>
    </w:p>
    <w:p>
      <w:r>
        <w:t>2017-12-01 to 2020-02-01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Global Head of Technology - Strategic Solutions International</w:t>
      </w:r>
    </w:p>
    <w:p>
      <w:r>
        <w:t>2019-03-01 to 2024-08-01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(2007-08-01 - 2011-05-01)</w:t>
      </w:r>
    </w:p>
    <w:p>
      <w:r>
        <w:t>GPA: 3.53</w:t>
      </w:r>
    </w:p>
    <w:p>
      <w:pPr>
        <w:pStyle w:val="Heading2"/>
      </w:pPr>
      <w:r>
        <w:t>Master of Engineering</w:t>
      </w:r>
    </w:p>
    <w:p>
      <w:r>
        <w:t>MIT (2010-08-01 - 2015-05-01)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Rust, Java, Go, Vue.js, Flask, MongoDB, PostgreSQL, Azure,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